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BB" w:rsidRPr="00F119BB" w:rsidRDefault="00F119BB" w:rsidP="00CD3C1C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119BB">
        <w:rPr>
          <w:rFonts w:ascii="Arial" w:hAnsi="Arial" w:cs="Arial"/>
          <w:b/>
          <w:sz w:val="20"/>
          <w:szCs w:val="20"/>
        </w:rPr>
        <w:t>TTD: Annual General Mandate</w:t>
      </w:r>
    </w:p>
    <w:p w:rsidR="00E66105" w:rsidRPr="00517640" w:rsidRDefault="00CC548A" w:rsidP="00CD3C1C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29 April 2017, Tam Duc H</w:t>
      </w:r>
      <w:r w:rsidR="00E66105" w:rsidRPr="00517640">
        <w:rPr>
          <w:rFonts w:ascii="Arial" w:hAnsi="Arial" w:cs="Arial"/>
          <w:sz w:val="20"/>
          <w:szCs w:val="20"/>
        </w:rPr>
        <w:t>eart</w:t>
      </w:r>
      <w:r>
        <w:rPr>
          <w:rFonts w:ascii="Arial" w:hAnsi="Arial" w:cs="Arial"/>
          <w:sz w:val="20"/>
          <w:szCs w:val="20"/>
        </w:rPr>
        <w:t xml:space="preserve"> Hospital Joint Stock Company</w:t>
      </w:r>
      <w:r w:rsidR="003D29DA">
        <w:rPr>
          <w:rFonts w:ascii="Arial" w:hAnsi="Arial" w:cs="Arial"/>
          <w:sz w:val="20"/>
          <w:szCs w:val="20"/>
        </w:rPr>
        <w:t xml:space="preserve"> announced:</w:t>
      </w:r>
    </w:p>
    <w:p w:rsidR="00E66105" w:rsidRPr="00337922" w:rsidRDefault="00337922" w:rsidP="00CD3C1C">
      <w:pPr>
        <w:spacing w:before="60" w:after="60" w:line="276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1: APPROVE</w:t>
      </w:r>
      <w:r w:rsidR="00E66105" w:rsidRPr="00337922">
        <w:rPr>
          <w:rFonts w:ascii="Arial" w:hAnsi="Arial" w:cs="Arial"/>
          <w:b/>
          <w:sz w:val="20"/>
          <w:szCs w:val="20"/>
        </w:rPr>
        <w:t xml:space="preserve"> THE RESULTS OF THE PLAN</w:t>
      </w:r>
      <w:r>
        <w:rPr>
          <w:rFonts w:ascii="Arial" w:hAnsi="Arial" w:cs="Arial"/>
          <w:b/>
          <w:sz w:val="20"/>
          <w:szCs w:val="20"/>
        </w:rPr>
        <w:t xml:space="preserve"> IN 2016</w:t>
      </w:r>
      <w:r w:rsidR="00E66105" w:rsidRPr="00337922">
        <w:rPr>
          <w:rFonts w:ascii="Arial" w:hAnsi="Arial" w:cs="Arial"/>
          <w:b/>
          <w:sz w:val="20"/>
          <w:szCs w:val="20"/>
        </w:rPr>
        <w:t xml:space="preserve">, </w:t>
      </w:r>
      <w:r w:rsidR="00264F0B">
        <w:rPr>
          <w:rFonts w:ascii="Arial" w:hAnsi="Arial" w:cs="Arial"/>
          <w:b/>
          <w:sz w:val="20"/>
          <w:szCs w:val="20"/>
        </w:rPr>
        <w:t xml:space="preserve">ANNUAL </w:t>
      </w:r>
      <w:r w:rsidR="00E66105" w:rsidRPr="00337922">
        <w:rPr>
          <w:rFonts w:ascii="Arial" w:hAnsi="Arial" w:cs="Arial"/>
          <w:b/>
          <w:sz w:val="20"/>
          <w:szCs w:val="20"/>
        </w:rPr>
        <w:t>AUDIT</w:t>
      </w:r>
      <w:r w:rsidR="00264F0B">
        <w:rPr>
          <w:rFonts w:ascii="Arial" w:hAnsi="Arial" w:cs="Arial"/>
          <w:b/>
          <w:sz w:val="20"/>
          <w:szCs w:val="20"/>
        </w:rPr>
        <w:t xml:space="preserve"> </w:t>
      </w:r>
      <w:r w:rsidR="00E66105" w:rsidRPr="00337922">
        <w:rPr>
          <w:rFonts w:ascii="Arial" w:hAnsi="Arial" w:cs="Arial"/>
          <w:b/>
          <w:sz w:val="20"/>
          <w:szCs w:val="20"/>
        </w:rPr>
        <w:t>REPORT 2016</w:t>
      </w:r>
    </w:p>
    <w:p w:rsidR="00E66105" w:rsidRPr="0059641B" w:rsidRDefault="00045EC6" w:rsidP="00CD3C1C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 term of</w:t>
      </w:r>
      <w:r w:rsidR="00E66105" w:rsidRPr="00E74C69">
        <w:rPr>
          <w:rFonts w:ascii="Arial" w:hAnsi="Arial" w:cs="Arial"/>
          <w:b/>
          <w:i/>
          <w:sz w:val="20"/>
          <w:szCs w:val="20"/>
        </w:rPr>
        <w:t xml:space="preserve"> professional:</w:t>
      </w:r>
      <w:r w:rsidR="00E66105" w:rsidRPr="00517640">
        <w:rPr>
          <w:rFonts w:ascii="Arial" w:hAnsi="Arial" w:cs="Arial"/>
          <w:sz w:val="20"/>
          <w:szCs w:val="20"/>
        </w:rPr>
        <w:t xml:space="preserve"> </w:t>
      </w:r>
      <w:r w:rsidR="00870F37">
        <w:rPr>
          <w:rFonts w:ascii="Arial" w:hAnsi="Arial" w:cs="Arial"/>
          <w:sz w:val="20"/>
          <w:szCs w:val="20"/>
        </w:rPr>
        <w:t xml:space="preserve">Medical examination and </w:t>
      </w:r>
      <w:r>
        <w:rPr>
          <w:rFonts w:ascii="Arial" w:hAnsi="Arial" w:cs="Arial"/>
          <w:sz w:val="20"/>
          <w:szCs w:val="20"/>
        </w:rPr>
        <w:t>o</w:t>
      </w:r>
      <w:r w:rsidR="00E66105" w:rsidRPr="00517640">
        <w:rPr>
          <w:rFonts w:ascii="Arial" w:hAnsi="Arial" w:cs="Arial"/>
          <w:sz w:val="20"/>
          <w:szCs w:val="20"/>
        </w:rPr>
        <w:t>utpatient</w:t>
      </w:r>
      <w:r w:rsidR="00870F37">
        <w:rPr>
          <w:rFonts w:ascii="Arial" w:hAnsi="Arial" w:cs="Arial"/>
          <w:sz w:val="20"/>
          <w:szCs w:val="20"/>
        </w:rPr>
        <w:t xml:space="preserve"> </w:t>
      </w:r>
      <w:r w:rsidR="00E66105" w:rsidRPr="00517640">
        <w:rPr>
          <w:rFonts w:ascii="Arial" w:hAnsi="Arial" w:cs="Arial"/>
          <w:sz w:val="20"/>
          <w:szCs w:val="20"/>
        </w:rPr>
        <w:t xml:space="preserve">treatment </w:t>
      </w:r>
      <w:r w:rsidR="00E66105" w:rsidRPr="0059641B">
        <w:rPr>
          <w:rFonts w:ascii="Arial" w:hAnsi="Arial" w:cs="Arial"/>
          <w:i/>
          <w:sz w:val="20"/>
          <w:szCs w:val="20"/>
        </w:rPr>
        <w:t>increased by 4.6%</w:t>
      </w:r>
      <w:r>
        <w:rPr>
          <w:rFonts w:ascii="Arial" w:hAnsi="Arial" w:cs="Arial"/>
          <w:sz w:val="20"/>
          <w:szCs w:val="20"/>
        </w:rPr>
        <w:t>,</w:t>
      </w:r>
      <w:r w:rsidR="00E66105" w:rsidRPr="00517640">
        <w:rPr>
          <w:rFonts w:ascii="Arial" w:hAnsi="Arial" w:cs="Arial"/>
          <w:sz w:val="20"/>
          <w:szCs w:val="20"/>
        </w:rPr>
        <w:t xml:space="preserve"> Inpatien</w:t>
      </w:r>
      <w:r w:rsidR="00553AFA">
        <w:rPr>
          <w:rFonts w:ascii="Arial" w:hAnsi="Arial" w:cs="Arial"/>
          <w:sz w:val="20"/>
          <w:szCs w:val="20"/>
        </w:rPr>
        <w:t xml:space="preserve">t treatment </w:t>
      </w:r>
      <w:r w:rsidR="00553AFA" w:rsidRPr="0059641B">
        <w:rPr>
          <w:rFonts w:ascii="Arial" w:hAnsi="Arial" w:cs="Arial"/>
          <w:i/>
          <w:sz w:val="20"/>
          <w:szCs w:val="20"/>
        </w:rPr>
        <w:t>increased by 11.2%,</w:t>
      </w:r>
      <w:r w:rsidR="00553AFA">
        <w:rPr>
          <w:rFonts w:ascii="Arial" w:hAnsi="Arial" w:cs="Arial"/>
          <w:sz w:val="20"/>
          <w:szCs w:val="20"/>
        </w:rPr>
        <w:t xml:space="preserve"> </w:t>
      </w:r>
      <w:r w:rsidR="00553AFA" w:rsidRPr="00553AFA">
        <w:rPr>
          <w:rFonts w:ascii="Arial" w:hAnsi="Arial" w:cs="Arial"/>
          <w:sz w:val="20"/>
          <w:szCs w:val="20"/>
        </w:rPr>
        <w:t>Para</w:t>
      </w:r>
      <w:r w:rsidR="00553AFA">
        <w:rPr>
          <w:rFonts w:ascii="Arial" w:hAnsi="Arial" w:cs="Arial"/>
          <w:sz w:val="20"/>
          <w:szCs w:val="20"/>
        </w:rPr>
        <w:t>-</w:t>
      </w:r>
      <w:r w:rsidR="00553AFA" w:rsidRPr="00553AFA">
        <w:rPr>
          <w:rFonts w:ascii="Arial" w:hAnsi="Arial" w:cs="Arial"/>
          <w:sz w:val="20"/>
          <w:szCs w:val="20"/>
        </w:rPr>
        <w:t>clinical</w:t>
      </w:r>
      <w:r w:rsidR="00553AFA" w:rsidRPr="00517640">
        <w:rPr>
          <w:rFonts w:ascii="Arial" w:hAnsi="Arial" w:cs="Arial"/>
          <w:sz w:val="20"/>
          <w:szCs w:val="20"/>
        </w:rPr>
        <w:t xml:space="preserve"> </w:t>
      </w:r>
      <w:r w:rsidR="00E66105" w:rsidRPr="0059641B">
        <w:rPr>
          <w:rFonts w:ascii="Arial" w:hAnsi="Arial" w:cs="Arial"/>
          <w:i/>
          <w:sz w:val="20"/>
          <w:szCs w:val="20"/>
        </w:rPr>
        <w:t>increased by 2.7%,</w:t>
      </w:r>
      <w:r w:rsidR="00E66105" w:rsidRPr="00517640">
        <w:rPr>
          <w:rFonts w:ascii="Arial" w:hAnsi="Arial" w:cs="Arial"/>
          <w:sz w:val="20"/>
          <w:szCs w:val="20"/>
        </w:rPr>
        <w:t xml:space="preserve"> Cardiac </w:t>
      </w:r>
      <w:r w:rsidR="00553AFA">
        <w:rPr>
          <w:rFonts w:ascii="Arial" w:hAnsi="Arial" w:cs="Arial"/>
          <w:sz w:val="20"/>
          <w:szCs w:val="20"/>
        </w:rPr>
        <w:t xml:space="preserve">intervention </w:t>
      </w:r>
      <w:r w:rsidR="00553AFA" w:rsidRPr="0059641B">
        <w:rPr>
          <w:rFonts w:ascii="Arial" w:hAnsi="Arial" w:cs="Arial"/>
          <w:i/>
          <w:sz w:val="20"/>
          <w:szCs w:val="20"/>
        </w:rPr>
        <w:t>increased by 3% (</w:t>
      </w:r>
      <w:r w:rsidR="00553AF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534/</w:t>
      </w:r>
      <w:r w:rsidR="00553AFA">
        <w:rPr>
          <w:rFonts w:ascii="Arial" w:hAnsi="Arial" w:cs="Arial"/>
          <w:sz w:val="20"/>
          <w:szCs w:val="20"/>
        </w:rPr>
        <w:t>1.</w:t>
      </w:r>
      <w:r w:rsidR="00E66105" w:rsidRPr="00517640">
        <w:rPr>
          <w:rFonts w:ascii="Arial" w:hAnsi="Arial" w:cs="Arial"/>
          <w:sz w:val="20"/>
          <w:szCs w:val="20"/>
        </w:rPr>
        <w:t xml:space="preserve">489), surgery </w:t>
      </w:r>
      <w:r w:rsidR="0059641B" w:rsidRPr="0059641B">
        <w:rPr>
          <w:rFonts w:ascii="Arial" w:hAnsi="Arial" w:cs="Arial"/>
          <w:i/>
          <w:sz w:val="20"/>
          <w:szCs w:val="20"/>
        </w:rPr>
        <w:t xml:space="preserve">decreased </w:t>
      </w:r>
      <w:r w:rsidR="00E66105" w:rsidRPr="0059641B">
        <w:rPr>
          <w:rFonts w:ascii="Arial" w:hAnsi="Arial" w:cs="Arial"/>
          <w:i/>
          <w:sz w:val="20"/>
          <w:szCs w:val="20"/>
        </w:rPr>
        <w:t>by 25%</w:t>
      </w:r>
      <w:r w:rsidR="00E66105" w:rsidRPr="00517640">
        <w:rPr>
          <w:rFonts w:ascii="Arial" w:hAnsi="Arial" w:cs="Arial"/>
          <w:sz w:val="20"/>
          <w:szCs w:val="20"/>
        </w:rPr>
        <w:t xml:space="preserve"> (480/638). Tam Duc </w:t>
      </w:r>
      <w:r w:rsidR="0059641B" w:rsidRPr="0059641B">
        <w:rPr>
          <w:rFonts w:ascii="Arial" w:hAnsi="Arial" w:cs="Arial"/>
          <w:sz w:val="20"/>
          <w:szCs w:val="20"/>
        </w:rPr>
        <w:t>poly</w:t>
      </w:r>
      <w:r w:rsidR="0059641B">
        <w:rPr>
          <w:rFonts w:ascii="Arial" w:hAnsi="Arial" w:cs="Arial"/>
          <w:sz w:val="20"/>
          <w:szCs w:val="20"/>
        </w:rPr>
        <w:t>-</w:t>
      </w:r>
      <w:r w:rsidR="0059641B" w:rsidRPr="0059641B">
        <w:rPr>
          <w:rFonts w:ascii="Arial" w:hAnsi="Arial" w:cs="Arial"/>
          <w:sz w:val="20"/>
          <w:szCs w:val="20"/>
        </w:rPr>
        <w:t>clinical</w:t>
      </w:r>
      <w:r w:rsidR="0059641B" w:rsidRPr="00517640">
        <w:rPr>
          <w:rFonts w:ascii="Arial" w:hAnsi="Arial" w:cs="Arial"/>
          <w:sz w:val="20"/>
          <w:szCs w:val="20"/>
        </w:rPr>
        <w:t xml:space="preserve"> </w:t>
      </w:r>
      <w:r w:rsidR="00E66105" w:rsidRPr="00517640">
        <w:rPr>
          <w:rFonts w:ascii="Arial" w:hAnsi="Arial" w:cs="Arial"/>
          <w:sz w:val="20"/>
          <w:szCs w:val="20"/>
        </w:rPr>
        <w:t xml:space="preserve">operates </w:t>
      </w:r>
      <w:r w:rsidR="00E66105" w:rsidRPr="0059641B">
        <w:rPr>
          <w:rFonts w:ascii="Arial" w:hAnsi="Arial" w:cs="Arial"/>
          <w:i/>
          <w:sz w:val="20"/>
          <w:szCs w:val="20"/>
        </w:rPr>
        <w:t>in a similar way.</w:t>
      </w:r>
    </w:p>
    <w:p w:rsidR="00E66105" w:rsidRPr="00517640" w:rsidRDefault="00045EC6" w:rsidP="00CD3C1C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 term of f</w:t>
      </w:r>
      <w:r w:rsidR="00E74C69" w:rsidRPr="00E74C69">
        <w:rPr>
          <w:rFonts w:ascii="Arial" w:hAnsi="Arial" w:cs="Arial"/>
          <w:b/>
          <w:i/>
          <w:sz w:val="20"/>
          <w:szCs w:val="20"/>
        </w:rPr>
        <w:t>inance</w:t>
      </w:r>
      <w:r w:rsidR="00E66105" w:rsidRPr="00E74C69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exceeds</w:t>
      </w:r>
      <w:r w:rsidR="00E0713A">
        <w:rPr>
          <w:rFonts w:ascii="Arial" w:hAnsi="Arial" w:cs="Arial"/>
          <w:sz w:val="20"/>
          <w:szCs w:val="20"/>
        </w:rPr>
        <w:t xml:space="preserve"> the plan for</w:t>
      </w:r>
      <w:r>
        <w:rPr>
          <w:rFonts w:ascii="Arial" w:hAnsi="Arial" w:cs="Arial"/>
          <w:sz w:val="20"/>
          <w:szCs w:val="20"/>
        </w:rPr>
        <w:t xml:space="preserve"> 2016 and increases</w:t>
      </w:r>
      <w:r w:rsidR="00E66105" w:rsidRPr="00517640">
        <w:rPr>
          <w:rFonts w:ascii="Arial" w:hAnsi="Arial" w:cs="Arial"/>
          <w:sz w:val="20"/>
          <w:szCs w:val="20"/>
        </w:rPr>
        <w:t xml:space="preserve"> compared to implementation in 2015</w:t>
      </w:r>
      <w:r w:rsidR="00E74C69">
        <w:rPr>
          <w:rFonts w:ascii="Arial" w:hAnsi="Arial" w:cs="Arial"/>
          <w:sz w:val="20"/>
          <w:szCs w:val="20"/>
        </w:rPr>
        <w:t>.</w:t>
      </w:r>
    </w:p>
    <w:p w:rsidR="00E66105" w:rsidRPr="00517640" w:rsidRDefault="00E66105" w:rsidP="00CD3C1C">
      <w:pPr>
        <w:spacing w:before="60" w:after="60" w:line="276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838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340"/>
        <w:gridCol w:w="1800"/>
        <w:gridCol w:w="2520"/>
      </w:tblGrid>
      <w:tr w:rsidR="00B939CE" w:rsidRPr="00B3038A">
        <w:tc>
          <w:tcPr>
            <w:tcW w:w="1728" w:type="dxa"/>
            <w:shd w:val="clear" w:color="auto" w:fill="auto"/>
          </w:tcPr>
          <w:p w:rsidR="00B939CE" w:rsidRPr="00B3038A" w:rsidRDefault="00B939CE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939CE" w:rsidRPr="00B3038A" w:rsidRDefault="00F22015" w:rsidP="00F22015">
            <w:pPr>
              <w:spacing w:before="60" w:after="6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038A">
              <w:rPr>
                <w:rFonts w:ascii="Arial" w:hAnsi="Arial" w:cs="Arial"/>
                <w:i/>
                <w:sz w:val="20"/>
                <w:szCs w:val="20"/>
              </w:rPr>
              <w:t>Implementation in</w:t>
            </w:r>
            <w:r w:rsidR="00B939CE" w:rsidRPr="00B3038A">
              <w:rPr>
                <w:rFonts w:ascii="Arial" w:hAnsi="Arial" w:cs="Arial"/>
                <w:i/>
                <w:sz w:val="20"/>
                <w:szCs w:val="20"/>
              </w:rPr>
              <w:t xml:space="preserve"> 2016</w:t>
            </w:r>
          </w:p>
        </w:tc>
        <w:tc>
          <w:tcPr>
            <w:tcW w:w="1800" w:type="dxa"/>
            <w:shd w:val="clear" w:color="auto" w:fill="auto"/>
          </w:tcPr>
          <w:p w:rsidR="00B939CE" w:rsidRPr="00B3038A" w:rsidRDefault="00F22015" w:rsidP="00F22015">
            <w:pPr>
              <w:spacing w:before="60" w:after="6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038A">
              <w:rPr>
                <w:rFonts w:ascii="Arial" w:hAnsi="Arial" w:cs="Arial"/>
                <w:i/>
                <w:sz w:val="20"/>
                <w:szCs w:val="20"/>
              </w:rPr>
              <w:t>Plan in</w:t>
            </w:r>
            <w:r w:rsidR="00B939CE" w:rsidRPr="00B3038A">
              <w:rPr>
                <w:rFonts w:ascii="Arial" w:hAnsi="Arial" w:cs="Arial"/>
                <w:i/>
                <w:sz w:val="20"/>
                <w:szCs w:val="20"/>
              </w:rPr>
              <w:t xml:space="preserve"> 2016</w:t>
            </w:r>
          </w:p>
        </w:tc>
        <w:tc>
          <w:tcPr>
            <w:tcW w:w="2520" w:type="dxa"/>
            <w:shd w:val="clear" w:color="auto" w:fill="auto"/>
          </w:tcPr>
          <w:p w:rsidR="00B939CE" w:rsidRPr="00B3038A" w:rsidRDefault="00967ABD" w:rsidP="00264F0B">
            <w:pPr>
              <w:spacing w:before="60" w:after="6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Compared </w:t>
            </w:r>
            <w:r w:rsidR="00264F0B" w:rsidRPr="00B3038A">
              <w:rPr>
                <w:rFonts w:ascii="Arial" w:hAnsi="Arial" w:cs="Arial"/>
                <w:i/>
                <w:sz w:val="20"/>
                <w:szCs w:val="20"/>
              </w:rPr>
              <w:t>to implementation in</w:t>
            </w:r>
            <w:r w:rsidR="00B939CE" w:rsidRPr="00B3038A">
              <w:rPr>
                <w:rFonts w:ascii="Arial" w:hAnsi="Arial" w:cs="Arial"/>
                <w:i/>
                <w:sz w:val="20"/>
                <w:szCs w:val="20"/>
              </w:rPr>
              <w:t xml:space="preserve"> 2015</w:t>
            </w:r>
          </w:p>
        </w:tc>
      </w:tr>
      <w:tr w:rsidR="00E66105" w:rsidRPr="00517640">
        <w:tc>
          <w:tcPr>
            <w:tcW w:w="1728" w:type="dxa"/>
            <w:shd w:val="clear" w:color="auto" w:fill="auto"/>
          </w:tcPr>
          <w:p w:rsidR="00E66105" w:rsidRPr="00517640" w:rsidRDefault="00E66105" w:rsidP="004C59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2340" w:type="dxa"/>
            <w:shd w:val="clear" w:color="auto" w:fill="auto"/>
          </w:tcPr>
          <w:p w:rsidR="00E66105" w:rsidRPr="00517640" w:rsidRDefault="004C59D7" w:rsidP="00F20022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484,655 billion</w:t>
            </w:r>
          </w:p>
        </w:tc>
        <w:tc>
          <w:tcPr>
            <w:tcW w:w="1800" w:type="dxa"/>
            <w:shd w:val="clear" w:color="auto" w:fill="auto"/>
          </w:tcPr>
          <w:p w:rsidR="00E66105" w:rsidRPr="00517640" w:rsidRDefault="00617601" w:rsidP="00045EC6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450 billion</w:t>
            </w:r>
          </w:p>
        </w:tc>
        <w:tc>
          <w:tcPr>
            <w:tcW w:w="2520" w:type="dxa"/>
            <w:shd w:val="clear" w:color="auto" w:fill="auto"/>
          </w:tcPr>
          <w:p w:rsidR="00E66105" w:rsidRPr="00517640" w:rsidRDefault="00870F37" w:rsidP="00967ABD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by 8%</w:t>
            </w:r>
          </w:p>
        </w:tc>
      </w:tr>
      <w:tr w:rsidR="00870F37" w:rsidRPr="00517640">
        <w:tc>
          <w:tcPr>
            <w:tcW w:w="1728" w:type="dxa"/>
            <w:shd w:val="clear" w:color="auto" w:fill="auto"/>
          </w:tcPr>
          <w:p w:rsidR="00870F37" w:rsidRPr="00517640" w:rsidRDefault="00870F37" w:rsidP="004C59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2340" w:type="dxa"/>
            <w:shd w:val="clear" w:color="auto" w:fill="auto"/>
          </w:tcPr>
          <w:p w:rsidR="00870F37" w:rsidRPr="00517640" w:rsidRDefault="004C59D7" w:rsidP="00F20022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64,016 billion</w:t>
            </w:r>
          </w:p>
        </w:tc>
        <w:tc>
          <w:tcPr>
            <w:tcW w:w="1800" w:type="dxa"/>
            <w:shd w:val="clear" w:color="auto" w:fill="auto"/>
          </w:tcPr>
          <w:p w:rsidR="00870F37" w:rsidRPr="00517640" w:rsidRDefault="00617601" w:rsidP="00045EC6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61 billion</w:t>
            </w:r>
          </w:p>
        </w:tc>
        <w:tc>
          <w:tcPr>
            <w:tcW w:w="2520" w:type="dxa"/>
            <w:shd w:val="clear" w:color="auto" w:fill="auto"/>
          </w:tcPr>
          <w:p w:rsidR="00870F37" w:rsidRDefault="00870F37" w:rsidP="00967ABD">
            <w:pPr>
              <w:jc w:val="right"/>
            </w:pPr>
            <w:r w:rsidRPr="00F13D86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>
              <w:rPr>
                <w:rFonts w:ascii="Arial" w:hAnsi="Arial" w:cs="Arial"/>
                <w:sz w:val="20"/>
                <w:szCs w:val="20"/>
              </w:rPr>
              <w:t>by 6</w:t>
            </w:r>
            <w:r w:rsidRPr="00F13D8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70F37" w:rsidRPr="00517640">
        <w:tc>
          <w:tcPr>
            <w:tcW w:w="1728" w:type="dxa"/>
            <w:shd w:val="clear" w:color="auto" w:fill="auto"/>
          </w:tcPr>
          <w:p w:rsidR="00870F37" w:rsidRPr="00517640" w:rsidRDefault="00870F37" w:rsidP="004C59D7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2340" w:type="dxa"/>
            <w:shd w:val="clear" w:color="auto" w:fill="auto"/>
          </w:tcPr>
          <w:p w:rsidR="00870F37" w:rsidRPr="00517640" w:rsidRDefault="004C59D7" w:rsidP="00F20022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56,804 billion</w:t>
            </w:r>
          </w:p>
        </w:tc>
        <w:tc>
          <w:tcPr>
            <w:tcW w:w="1800" w:type="dxa"/>
            <w:shd w:val="clear" w:color="auto" w:fill="auto"/>
          </w:tcPr>
          <w:p w:rsidR="00870F37" w:rsidRPr="00517640" w:rsidRDefault="00617601" w:rsidP="00045EC6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54 billion</w:t>
            </w:r>
          </w:p>
        </w:tc>
        <w:tc>
          <w:tcPr>
            <w:tcW w:w="2520" w:type="dxa"/>
            <w:shd w:val="clear" w:color="auto" w:fill="auto"/>
          </w:tcPr>
          <w:p w:rsidR="00870F37" w:rsidRDefault="00870F37" w:rsidP="00967ABD">
            <w:pPr>
              <w:jc w:val="right"/>
            </w:pPr>
            <w:r w:rsidRPr="00F13D86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>
              <w:rPr>
                <w:rFonts w:ascii="Arial" w:hAnsi="Arial" w:cs="Arial"/>
                <w:sz w:val="20"/>
                <w:szCs w:val="20"/>
              </w:rPr>
              <w:t>by 6</w:t>
            </w:r>
            <w:r w:rsidRPr="00F13D8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66105" w:rsidRPr="00F20022">
        <w:tc>
          <w:tcPr>
            <w:tcW w:w="1728" w:type="dxa"/>
            <w:shd w:val="clear" w:color="auto" w:fill="auto"/>
          </w:tcPr>
          <w:p w:rsidR="00E66105" w:rsidRPr="00F20022" w:rsidRDefault="00E66105" w:rsidP="004C59D7">
            <w:pPr>
              <w:spacing w:before="60" w:after="6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20022">
              <w:rPr>
                <w:rFonts w:ascii="Arial" w:hAnsi="Arial" w:cs="Arial"/>
                <w:i/>
                <w:sz w:val="20"/>
                <w:szCs w:val="20"/>
              </w:rPr>
              <w:t>Dividend</w:t>
            </w:r>
          </w:p>
        </w:tc>
        <w:tc>
          <w:tcPr>
            <w:tcW w:w="2340" w:type="dxa"/>
            <w:shd w:val="clear" w:color="auto" w:fill="auto"/>
          </w:tcPr>
          <w:p w:rsidR="00E66105" w:rsidRPr="00F20022" w:rsidRDefault="004C59D7" w:rsidP="00F20022">
            <w:pPr>
              <w:spacing w:before="60" w:after="60"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20022">
              <w:rPr>
                <w:rFonts w:ascii="Arial" w:hAnsi="Arial" w:cs="Arial"/>
                <w:i/>
                <w:sz w:val="20"/>
                <w:szCs w:val="20"/>
              </w:rPr>
              <w:t>30%/face value</w:t>
            </w:r>
          </w:p>
        </w:tc>
        <w:tc>
          <w:tcPr>
            <w:tcW w:w="1800" w:type="dxa"/>
            <w:shd w:val="clear" w:color="auto" w:fill="auto"/>
          </w:tcPr>
          <w:p w:rsidR="00E66105" w:rsidRPr="00F20022" w:rsidRDefault="004C59D7" w:rsidP="00045EC6">
            <w:pPr>
              <w:spacing w:before="60" w:after="60"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20022">
              <w:rPr>
                <w:rFonts w:ascii="Arial" w:hAnsi="Arial" w:cs="Arial"/>
                <w:i/>
                <w:sz w:val="20"/>
                <w:szCs w:val="20"/>
              </w:rPr>
              <w:t>30%/face value</w:t>
            </w:r>
          </w:p>
        </w:tc>
        <w:tc>
          <w:tcPr>
            <w:tcW w:w="2520" w:type="dxa"/>
            <w:shd w:val="clear" w:color="auto" w:fill="auto"/>
          </w:tcPr>
          <w:p w:rsidR="00E66105" w:rsidRPr="00F20022" w:rsidRDefault="00E66105" w:rsidP="00F20022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939CE" w:rsidRPr="00F20022">
        <w:tc>
          <w:tcPr>
            <w:tcW w:w="1728" w:type="dxa"/>
            <w:shd w:val="clear" w:color="auto" w:fill="auto"/>
          </w:tcPr>
          <w:p w:rsidR="00B939CE" w:rsidRPr="00F20022" w:rsidRDefault="00B939CE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B939CE" w:rsidRPr="00F20022" w:rsidRDefault="004C59D7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20022">
              <w:rPr>
                <w:rFonts w:ascii="Arial" w:hAnsi="Arial" w:cs="Arial"/>
                <w:i/>
                <w:sz w:val="20"/>
                <w:szCs w:val="20"/>
              </w:rPr>
              <w:t>30%/face value</w:t>
            </w:r>
          </w:p>
        </w:tc>
        <w:tc>
          <w:tcPr>
            <w:tcW w:w="1800" w:type="dxa"/>
            <w:shd w:val="clear" w:color="auto" w:fill="auto"/>
          </w:tcPr>
          <w:p w:rsidR="00B939CE" w:rsidRPr="00F20022" w:rsidRDefault="00B939CE" w:rsidP="00045EC6">
            <w:pPr>
              <w:spacing w:before="60" w:after="60" w:line="276" w:lineRule="auto"/>
              <w:ind w:firstLine="7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939CE" w:rsidRPr="00F20022" w:rsidRDefault="00B939CE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E24F4" w:rsidRPr="00F20022" w:rsidRDefault="00F119BB" w:rsidP="00F20022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Voting result: 100% Approval</w:t>
      </w:r>
    </w:p>
    <w:p w:rsidR="005E24F4" w:rsidRPr="00F20022" w:rsidRDefault="005E24F4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F20022">
        <w:rPr>
          <w:rFonts w:ascii="Arial" w:hAnsi="Arial" w:cs="Arial"/>
          <w:b/>
          <w:sz w:val="20"/>
          <w:szCs w:val="20"/>
        </w:rPr>
        <w:t>Article II.</w:t>
      </w:r>
      <w:r w:rsidR="00F20022">
        <w:rPr>
          <w:rFonts w:ascii="Arial" w:hAnsi="Arial" w:cs="Arial"/>
          <w:b/>
          <w:sz w:val="20"/>
          <w:szCs w:val="20"/>
        </w:rPr>
        <w:t xml:space="preserve"> APPROVE </w:t>
      </w:r>
      <w:r w:rsidRPr="00F20022">
        <w:rPr>
          <w:rFonts w:ascii="Arial" w:hAnsi="Arial" w:cs="Arial"/>
          <w:b/>
          <w:sz w:val="20"/>
          <w:szCs w:val="20"/>
        </w:rPr>
        <w:t>REPORT OF THE BOARD OF SUPERVISORS 2016</w:t>
      </w:r>
    </w:p>
    <w:p w:rsidR="005E24F4" w:rsidRPr="00F20022" w:rsidRDefault="00F119BB" w:rsidP="00F20022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Voting result: 100% Approval</w:t>
      </w:r>
    </w:p>
    <w:p w:rsidR="004011C0" w:rsidRPr="00F20022" w:rsidRDefault="00F20022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III: APPROVE</w:t>
      </w:r>
      <w:r w:rsidR="005E24F4" w:rsidRPr="00F20022">
        <w:rPr>
          <w:rFonts w:ascii="Arial" w:hAnsi="Arial" w:cs="Arial"/>
          <w:b/>
          <w:sz w:val="20"/>
          <w:szCs w:val="20"/>
        </w:rPr>
        <w:t xml:space="preserve"> THE</w:t>
      </w:r>
      <w:r w:rsidR="00045EC6">
        <w:rPr>
          <w:rFonts w:ascii="Arial" w:hAnsi="Arial" w:cs="Arial"/>
          <w:b/>
          <w:sz w:val="20"/>
          <w:szCs w:val="20"/>
        </w:rPr>
        <w:t xml:space="preserve"> PLAN OF</w:t>
      </w:r>
      <w:r w:rsidR="005E24F4" w:rsidRPr="00F20022">
        <w:rPr>
          <w:rFonts w:ascii="Arial" w:hAnsi="Arial" w:cs="Arial"/>
          <w:b/>
          <w:sz w:val="20"/>
          <w:szCs w:val="20"/>
        </w:rPr>
        <w:t xml:space="preserve"> PROFIT DISTRIBUTION</w:t>
      </w:r>
      <w:r>
        <w:rPr>
          <w:rFonts w:ascii="Arial" w:hAnsi="Arial" w:cs="Arial"/>
          <w:b/>
          <w:sz w:val="20"/>
          <w:szCs w:val="20"/>
        </w:rPr>
        <w:t xml:space="preserve"> 2016. DIVIDEND OF 2016 IS 30%</w:t>
      </w:r>
      <w:r w:rsidR="005E24F4" w:rsidRPr="00F20022">
        <w:rPr>
          <w:rFonts w:ascii="Arial" w:hAnsi="Arial" w:cs="Arial"/>
          <w:b/>
          <w:sz w:val="20"/>
          <w:szCs w:val="20"/>
        </w:rPr>
        <w:t>/</w:t>
      </w:r>
      <w:r w:rsidRPr="00F20022">
        <w:rPr>
          <w:rFonts w:ascii="Arial" w:hAnsi="Arial" w:cs="Arial"/>
          <w:b/>
          <w:sz w:val="20"/>
          <w:szCs w:val="20"/>
        </w:rPr>
        <w:t>FACE VALUE</w:t>
      </w:r>
    </w:p>
    <w:tbl>
      <w:tblPr>
        <w:tblW w:w="9288" w:type="dxa"/>
        <w:tblInd w:w="108" w:type="dxa"/>
        <w:tblLook w:val="04A0" w:firstRow="1" w:lastRow="0" w:firstColumn="1" w:lastColumn="0" w:noHBand="0" w:noVBand="1"/>
      </w:tblPr>
      <w:tblGrid>
        <w:gridCol w:w="6588"/>
        <w:gridCol w:w="2700"/>
      </w:tblGrid>
      <w:tr w:rsidR="00E66105" w:rsidRPr="00517640">
        <w:tc>
          <w:tcPr>
            <w:tcW w:w="6588" w:type="dxa"/>
            <w:shd w:val="clear" w:color="auto" w:fill="auto"/>
          </w:tcPr>
          <w:p w:rsidR="00E66105" w:rsidRPr="00517640" w:rsidRDefault="000B37E5" w:rsidP="000B37E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Profit of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>2016 is distributed as follows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0" w:type="dxa"/>
            <w:shd w:val="clear" w:color="auto" w:fill="auto"/>
          </w:tcPr>
          <w:p w:rsidR="00E66105" w:rsidRPr="000B37E5" w:rsidRDefault="000B37E5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B37E5">
              <w:rPr>
                <w:rFonts w:ascii="Arial" w:hAnsi="Arial" w:cs="Arial"/>
                <w:i/>
                <w:sz w:val="20"/>
                <w:szCs w:val="20"/>
              </w:rPr>
              <w:t>Amount (VND)</w:t>
            </w:r>
          </w:p>
        </w:tc>
      </w:tr>
      <w:tr w:rsidR="00E66105" w:rsidRPr="00517640">
        <w:tc>
          <w:tcPr>
            <w:tcW w:w="6588" w:type="dxa"/>
            <w:shd w:val="clear" w:color="auto" w:fill="auto"/>
          </w:tcPr>
          <w:p w:rsidR="00E66105" w:rsidRPr="00385C6F" w:rsidRDefault="00E66105" w:rsidP="000B37E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5C6F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0B37E5" w:rsidRPr="00385C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rofit after income tax </w:t>
            </w:r>
          </w:p>
        </w:tc>
        <w:tc>
          <w:tcPr>
            <w:tcW w:w="2700" w:type="dxa"/>
            <w:shd w:val="clear" w:color="auto" w:fill="auto"/>
          </w:tcPr>
          <w:p w:rsidR="00E66105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56.804.368.801</w:t>
            </w:r>
          </w:p>
        </w:tc>
      </w:tr>
      <w:tr w:rsidR="00E66105" w:rsidRPr="00517640">
        <w:tc>
          <w:tcPr>
            <w:tcW w:w="6588" w:type="dxa"/>
            <w:shd w:val="clear" w:color="auto" w:fill="auto"/>
          </w:tcPr>
          <w:p w:rsidR="00E66105" w:rsidRPr="00385C6F" w:rsidRDefault="000B37E5" w:rsidP="000B37E5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5C6F">
              <w:rPr>
                <w:rFonts w:ascii="Arial" w:hAnsi="Arial" w:cs="Arial"/>
                <w:b/>
                <w:i/>
                <w:sz w:val="20"/>
                <w:szCs w:val="20"/>
              </w:rPr>
              <w:t>Deduction of</w:t>
            </w:r>
            <w:r w:rsidR="00E66105" w:rsidRPr="00385C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funds (Resolu</w:t>
            </w:r>
            <w:r w:rsidR="00385C6F" w:rsidRPr="00385C6F">
              <w:rPr>
                <w:rFonts w:ascii="Arial" w:hAnsi="Arial" w:cs="Arial"/>
                <w:b/>
                <w:i/>
                <w:sz w:val="20"/>
                <w:szCs w:val="20"/>
              </w:rPr>
              <w:t>tion No.01.2016/ NQ-</w:t>
            </w:r>
            <w:r w:rsidRPr="00385C6F">
              <w:rPr>
                <w:rFonts w:ascii="Arial" w:hAnsi="Arial" w:cs="Arial"/>
                <w:b/>
                <w:i/>
                <w:sz w:val="20"/>
                <w:szCs w:val="20"/>
              </w:rPr>
              <w:t>DH</w:t>
            </w:r>
            <w:r w:rsidR="00385C6F" w:rsidRPr="00385C6F">
              <w:rPr>
                <w:rFonts w:ascii="Arial" w:hAnsi="Arial" w:cs="Arial"/>
                <w:b/>
                <w:i/>
                <w:sz w:val="20"/>
                <w:szCs w:val="20"/>
              </w:rPr>
              <w:t>CD</w:t>
            </w:r>
            <w:r w:rsidRPr="00385C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</w:t>
            </w:r>
            <w:r w:rsidR="00385C6F" w:rsidRPr="00385C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29 April </w:t>
            </w:r>
            <w:r w:rsidR="00E66105" w:rsidRPr="00385C6F">
              <w:rPr>
                <w:rFonts w:ascii="Arial" w:hAnsi="Arial" w:cs="Arial"/>
                <w:b/>
                <w:i/>
                <w:sz w:val="20"/>
                <w:szCs w:val="20"/>
              </w:rPr>
              <w:t>2016)</w:t>
            </w:r>
          </w:p>
        </w:tc>
        <w:tc>
          <w:tcPr>
            <w:tcW w:w="2700" w:type="dxa"/>
            <w:shd w:val="clear" w:color="auto" w:fill="auto"/>
          </w:tcPr>
          <w:p w:rsidR="00E66105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4.155.009.867</w:t>
            </w:r>
          </w:p>
        </w:tc>
      </w:tr>
      <w:tr w:rsidR="00E66105" w:rsidRPr="00517640">
        <w:tc>
          <w:tcPr>
            <w:tcW w:w="6588" w:type="dxa"/>
            <w:shd w:val="clear" w:color="auto" w:fill="auto"/>
          </w:tcPr>
          <w:p w:rsidR="00E66105" w:rsidRPr="00517640" w:rsidRDefault="00385C6F" w:rsidP="000B37E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>1. Humanitarian Fund</w:t>
            </w:r>
          </w:p>
        </w:tc>
        <w:tc>
          <w:tcPr>
            <w:tcW w:w="2700" w:type="dxa"/>
            <w:shd w:val="clear" w:color="auto" w:fill="auto"/>
          </w:tcPr>
          <w:p w:rsidR="00E66105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E66105" w:rsidRPr="00517640">
        <w:tc>
          <w:tcPr>
            <w:tcW w:w="6588" w:type="dxa"/>
            <w:shd w:val="clear" w:color="auto" w:fill="auto"/>
          </w:tcPr>
          <w:p w:rsidR="00E66105" w:rsidRPr="00517640" w:rsidRDefault="00385C6F" w:rsidP="000B37E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 xml:space="preserve">2. Activity Fund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>Board o</w:t>
            </w:r>
            <w:r>
              <w:rPr>
                <w:rFonts w:ascii="Arial" w:hAnsi="Arial" w:cs="Arial"/>
                <w:sz w:val="20"/>
                <w:szCs w:val="20"/>
              </w:rPr>
              <w:t xml:space="preserve">f Directors and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>
              <w:rPr>
                <w:rFonts w:ascii="Arial" w:hAnsi="Arial" w:cs="Arial"/>
                <w:sz w:val="20"/>
                <w:szCs w:val="20"/>
              </w:rPr>
              <w:t>of Supervisors</w:t>
            </w:r>
            <w:r w:rsidRPr="00517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rate of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>3.6%)</w:t>
            </w:r>
          </w:p>
        </w:tc>
        <w:tc>
          <w:tcPr>
            <w:tcW w:w="2700" w:type="dxa"/>
            <w:shd w:val="clear" w:color="auto" w:fill="auto"/>
          </w:tcPr>
          <w:p w:rsidR="00E66105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2.044.957.277</w:t>
            </w:r>
          </w:p>
        </w:tc>
      </w:tr>
      <w:tr w:rsidR="00E66105" w:rsidRPr="00517640">
        <w:tc>
          <w:tcPr>
            <w:tcW w:w="6588" w:type="dxa"/>
            <w:shd w:val="clear" w:color="auto" w:fill="auto"/>
          </w:tcPr>
          <w:p w:rsidR="00E66105" w:rsidRPr="00517640" w:rsidRDefault="00385C6F" w:rsidP="000B37E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>3. Science and technology fund</w:t>
            </w:r>
          </w:p>
        </w:tc>
        <w:tc>
          <w:tcPr>
            <w:tcW w:w="2700" w:type="dxa"/>
            <w:shd w:val="clear" w:color="auto" w:fill="auto"/>
          </w:tcPr>
          <w:p w:rsidR="00E66105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610.052.590</w:t>
            </w:r>
          </w:p>
        </w:tc>
      </w:tr>
      <w:tr w:rsidR="00E66105" w:rsidRPr="00517640">
        <w:tc>
          <w:tcPr>
            <w:tcW w:w="6588" w:type="dxa"/>
            <w:shd w:val="clear" w:color="auto" w:fill="auto"/>
          </w:tcPr>
          <w:p w:rsidR="00E66105" w:rsidRPr="00517640" w:rsidRDefault="00385C6F" w:rsidP="000B37E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4. Bonus</w:t>
            </w:r>
            <w:r w:rsidR="00045EC6">
              <w:rPr>
                <w:rFonts w:ascii="Arial" w:hAnsi="Arial" w:cs="Arial"/>
                <w:sz w:val="20"/>
                <w:szCs w:val="20"/>
              </w:rPr>
              <w:t xml:space="preserve"> and welfare fund</w:t>
            </w:r>
          </w:p>
        </w:tc>
        <w:tc>
          <w:tcPr>
            <w:tcW w:w="2700" w:type="dxa"/>
            <w:shd w:val="clear" w:color="auto" w:fill="auto"/>
          </w:tcPr>
          <w:p w:rsidR="00E66105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300.000.000</w:t>
            </w:r>
          </w:p>
        </w:tc>
      </w:tr>
      <w:tr w:rsidR="00E66105" w:rsidRPr="00517640">
        <w:tc>
          <w:tcPr>
            <w:tcW w:w="6588" w:type="dxa"/>
            <w:shd w:val="clear" w:color="auto" w:fill="auto"/>
          </w:tcPr>
          <w:p w:rsidR="00E66105" w:rsidRPr="00517640" w:rsidRDefault="00385C6F" w:rsidP="000B37E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66105" w:rsidRPr="00517640">
              <w:rPr>
                <w:rFonts w:ascii="Arial" w:hAnsi="Arial" w:cs="Arial"/>
                <w:sz w:val="20"/>
                <w:szCs w:val="20"/>
              </w:rPr>
              <w:t>5. Charity Fund</w:t>
            </w:r>
          </w:p>
        </w:tc>
        <w:tc>
          <w:tcPr>
            <w:tcW w:w="2700" w:type="dxa"/>
            <w:shd w:val="clear" w:color="auto" w:fill="auto"/>
          </w:tcPr>
          <w:p w:rsidR="00E66105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600.000.000</w:t>
            </w:r>
          </w:p>
        </w:tc>
      </w:tr>
      <w:tr w:rsidR="004011C0" w:rsidRPr="00517640">
        <w:tc>
          <w:tcPr>
            <w:tcW w:w="6588" w:type="dxa"/>
            <w:shd w:val="clear" w:color="auto" w:fill="auto"/>
          </w:tcPr>
          <w:p w:rsidR="004011C0" w:rsidRPr="00FF0D87" w:rsidRDefault="00385C6F" w:rsidP="000B37E5">
            <w:pPr>
              <w:spacing w:before="60" w:after="6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0D87">
              <w:rPr>
                <w:rFonts w:ascii="Arial" w:hAnsi="Arial" w:cs="Arial"/>
                <w:i/>
                <w:sz w:val="20"/>
                <w:szCs w:val="20"/>
              </w:rPr>
              <w:t xml:space="preserve">(Implementing </w:t>
            </w:r>
            <w:r w:rsidR="0028075B">
              <w:rPr>
                <w:rFonts w:ascii="Arial" w:hAnsi="Arial" w:cs="Arial"/>
                <w:i/>
                <w:sz w:val="20"/>
                <w:szCs w:val="20"/>
              </w:rPr>
              <w:t>the m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 xml:space="preserve">emorandum of </w:t>
            </w:r>
            <w:r w:rsidR="0028075B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FF0D87">
              <w:rPr>
                <w:rFonts w:ascii="Arial" w:hAnsi="Arial" w:cs="Arial"/>
                <w:i/>
                <w:sz w:val="20"/>
                <w:szCs w:val="20"/>
              </w:rPr>
              <w:t xml:space="preserve">echnology transfer of </w:t>
            </w:r>
            <w:r w:rsidR="0070071A" w:rsidRPr="00FF0D87">
              <w:rPr>
                <w:rFonts w:ascii="Arial" w:hAnsi="Arial" w:cs="Arial"/>
                <w:i/>
                <w:sz w:val="20"/>
                <w:szCs w:val="20"/>
              </w:rPr>
              <w:t xml:space="preserve">heart surgery and </w:t>
            </w:r>
            <w:r w:rsidR="0028075B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70071A" w:rsidRPr="00FF0D87">
              <w:rPr>
                <w:rFonts w:ascii="Arial" w:hAnsi="Arial" w:cs="Arial"/>
                <w:i/>
                <w:sz w:val="20"/>
                <w:szCs w:val="20"/>
              </w:rPr>
              <w:t xml:space="preserve">ardiac intervention 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="0070071A" w:rsidRPr="00FF0D87">
              <w:rPr>
                <w:rFonts w:ascii="Arial" w:hAnsi="Arial" w:cs="Arial"/>
                <w:i/>
                <w:sz w:val="20"/>
                <w:szCs w:val="20"/>
              </w:rPr>
              <w:t xml:space="preserve"> 12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 xml:space="preserve"> March, 2004 between the </w:t>
            </w:r>
            <w:smartTag w:uri="urn:schemas-microsoft-com:office:smarttags" w:element="PlaceName">
              <w:r w:rsidR="00482D46" w:rsidRPr="00FF0D87">
                <w:rPr>
                  <w:rFonts w:ascii="Arial" w:hAnsi="Arial" w:cs="Arial"/>
                  <w:i/>
                  <w:sz w:val="20"/>
                  <w:szCs w:val="20"/>
                </w:rPr>
                <w:t>Heart</w:t>
              </w:r>
            </w:smartTag>
            <w:r w:rsidR="00F107AC" w:rsidRPr="00FF0D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="00F107AC" w:rsidRPr="00FF0D87">
                <w:rPr>
                  <w:rFonts w:ascii="Arial" w:hAnsi="Arial" w:cs="Arial"/>
                  <w:i/>
                  <w:sz w:val="20"/>
                  <w:szCs w:val="20"/>
                </w:rPr>
                <w:t>Hospital</w:t>
              </w:r>
            </w:smartTag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smartTag w:uri="urn:schemas-microsoft-com:office:smarttags" w:element="PlaceName">
              <w:r w:rsidR="00F107AC" w:rsidRPr="00FF0D87">
                <w:rPr>
                  <w:rFonts w:ascii="Arial" w:hAnsi="Arial" w:cs="Arial"/>
                  <w:i/>
                  <w:sz w:val="20"/>
                  <w:szCs w:val="20"/>
                </w:rPr>
                <w:t>Tam</w:t>
              </w:r>
            </w:smartTag>
            <w:r w:rsidR="00F107AC" w:rsidRPr="00FF0D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="00F107AC" w:rsidRPr="00FF0D87">
                <w:rPr>
                  <w:rFonts w:ascii="Arial" w:hAnsi="Arial" w:cs="Arial"/>
                  <w:i/>
                  <w:sz w:val="20"/>
                  <w:szCs w:val="20"/>
                </w:rPr>
                <w:t>Duc</w:t>
              </w:r>
            </w:smartTag>
            <w:r w:rsidR="00F107AC" w:rsidRPr="00FF0D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="00482D46" w:rsidRPr="00FF0D87">
                <w:rPr>
                  <w:rFonts w:ascii="Arial" w:hAnsi="Arial" w:cs="Arial"/>
                  <w:i/>
                  <w:sz w:val="20"/>
                  <w:szCs w:val="20"/>
                </w:rPr>
                <w:t>Heart</w:t>
              </w:r>
            </w:smartTag>
            <w:r w:rsidR="00F107AC" w:rsidRPr="00FF0D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="00F107AC" w:rsidRPr="00FF0D87">
                <w:rPr>
                  <w:rFonts w:ascii="Arial" w:hAnsi="Arial" w:cs="Arial"/>
                  <w:i/>
                  <w:sz w:val="20"/>
                  <w:szCs w:val="20"/>
                </w:rPr>
                <w:t>Hospital</w:t>
              </w:r>
            </w:smartTag>
            <w:r w:rsidR="00F107AC" w:rsidRPr="00FF0D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>approved by</w:t>
            </w:r>
            <w:r w:rsidR="008C1E65" w:rsidRPr="00FF0D87">
              <w:rPr>
                <w:rFonts w:ascii="Arial" w:hAnsi="Arial" w:cs="Arial"/>
                <w:i/>
                <w:sz w:val="20"/>
                <w:szCs w:val="20"/>
              </w:rPr>
              <w:t xml:space="preserve"> Health D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>epartment</w:t>
            </w:r>
            <w:r w:rsidR="0015120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8C1E65" w:rsidRPr="00FF0D87">
              <w:rPr>
                <w:rFonts w:ascii="Arial" w:hAnsi="Arial" w:cs="Arial"/>
                <w:i/>
                <w:sz w:val="20"/>
                <w:szCs w:val="20"/>
              </w:rPr>
              <w:t>this amount of money will be transfer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8C1E65" w:rsidRPr="00FF0D87">
              <w:rPr>
                <w:rFonts w:ascii="Arial" w:hAnsi="Arial" w:cs="Arial"/>
                <w:i/>
                <w:sz w:val="20"/>
                <w:szCs w:val="20"/>
              </w:rPr>
              <w:t>ed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 xml:space="preserve"> to </w:t>
            </w:r>
            <w:smartTag w:uri="urn:schemas-microsoft-com:office:smarttags" w:element="place">
              <w:smartTag w:uri="urn:schemas-microsoft-com:office:smarttags" w:element="PlaceName">
                <w:r w:rsidR="00325142" w:rsidRPr="00FF0D87">
                  <w:rPr>
                    <w:rFonts w:ascii="Arial" w:hAnsi="Arial" w:cs="Arial"/>
                    <w:i/>
                    <w:sz w:val="20"/>
                    <w:szCs w:val="20"/>
                  </w:rPr>
                  <w:t>Hear</w:t>
                </w:r>
              </w:smartTag>
              <w:r w:rsidR="00325142" w:rsidRPr="00FF0D87">
                <w:rPr>
                  <w:rFonts w:ascii="Arial" w:hAnsi="Arial" w:cs="Arial"/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325142" w:rsidRPr="00FF0D87">
                  <w:rPr>
                    <w:rFonts w:ascii="Arial" w:hAnsi="Arial" w:cs="Arial"/>
                    <w:i/>
                    <w:sz w:val="20"/>
                    <w:szCs w:val="20"/>
                  </w:rPr>
                  <w:t>Hospital</w:t>
                </w:r>
              </w:smartTag>
            </w:smartTag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>. From 2014, a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>ccording to the agreeme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 xml:space="preserve">nt on the cooperation </w:t>
            </w:r>
            <w:r w:rsidR="0028075B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 xml:space="preserve"> technology tra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 xml:space="preserve">nsfer and humanitarian on 25 April 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>2014, Tam Duc Heart Hospital and Heart Institute of Ho Chi Minh City agreed</w:t>
            </w:r>
            <w:r w:rsidR="00FF0D87" w:rsidRPr="00FF0D87">
              <w:rPr>
                <w:rFonts w:ascii="Arial" w:hAnsi="Arial" w:cs="Arial"/>
                <w:i/>
                <w:sz w:val="20"/>
                <w:szCs w:val="20"/>
              </w:rPr>
              <w:t xml:space="preserve"> that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>extract</w:t>
            </w:r>
            <w:r w:rsidR="00FF0D87" w:rsidRPr="00FF0D87">
              <w:rPr>
                <w:rFonts w:ascii="Arial" w:hAnsi="Arial" w:cs="Arial"/>
                <w:i/>
                <w:sz w:val="20"/>
                <w:szCs w:val="20"/>
              </w:rPr>
              <w:t>ion of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 xml:space="preserve"> 5% profits of </w:t>
            </w:r>
            <w:r w:rsidR="00C34D55">
              <w:rPr>
                <w:rFonts w:ascii="Arial" w:hAnsi="Arial" w:cs="Arial"/>
                <w:i/>
                <w:sz w:val="20"/>
                <w:szCs w:val="20"/>
              </w:rPr>
              <w:t>cardiac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 xml:space="preserve"> surgery and c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 xml:space="preserve">ardiac 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 xml:space="preserve">intervention 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>from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075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D96639" w:rsidRPr="00FF0D87">
              <w:rPr>
                <w:rFonts w:ascii="Arial" w:hAnsi="Arial" w:cs="Arial"/>
                <w:i/>
                <w:sz w:val="20"/>
                <w:szCs w:val="20"/>
              </w:rPr>
              <w:t xml:space="preserve">elf-financing </w:t>
            </w:r>
            <w:r w:rsidR="00325142" w:rsidRPr="00FF0D87">
              <w:rPr>
                <w:rFonts w:ascii="Arial" w:hAnsi="Arial" w:cs="Arial"/>
                <w:i/>
                <w:sz w:val="20"/>
                <w:szCs w:val="20"/>
              </w:rPr>
              <w:t xml:space="preserve">patients 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 xml:space="preserve">will not be transferred to the </w:t>
            </w:r>
            <w:r w:rsidR="00FF0D87" w:rsidRPr="00FF0D87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>eart</w:t>
            </w:r>
            <w:r w:rsidR="00FF0D87" w:rsidRPr="00FF0D87">
              <w:rPr>
                <w:rFonts w:ascii="Arial" w:hAnsi="Arial" w:cs="Arial"/>
                <w:i/>
                <w:sz w:val="20"/>
                <w:szCs w:val="20"/>
              </w:rPr>
              <w:t xml:space="preserve"> Hospital’s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F0D87" w:rsidRPr="00FF0D87">
              <w:rPr>
                <w:rFonts w:ascii="Arial" w:hAnsi="Arial" w:cs="Arial"/>
                <w:i/>
                <w:sz w:val="20"/>
                <w:szCs w:val="20"/>
              </w:rPr>
              <w:t xml:space="preserve">operations </w:t>
            </w:r>
            <w:r w:rsidR="00482D46" w:rsidRPr="00FF0D87">
              <w:rPr>
                <w:rFonts w:ascii="Arial" w:hAnsi="Arial" w:cs="Arial"/>
                <w:i/>
                <w:sz w:val="20"/>
                <w:szCs w:val="20"/>
              </w:rPr>
              <w:t>fund anymore, but to continue the program to sponsor poor children directly operated in Tam Duc</w:t>
            </w:r>
            <w:r w:rsidR="00FF0D87" w:rsidRPr="00FF0D87">
              <w:rPr>
                <w:rFonts w:ascii="Arial" w:hAnsi="Arial" w:cs="Arial"/>
                <w:i/>
                <w:sz w:val="20"/>
                <w:szCs w:val="20"/>
              </w:rPr>
              <w:t xml:space="preserve"> Hospital</w:t>
            </w:r>
            <w:r w:rsidR="00BF618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1C0" w:rsidRPr="00517640" w:rsidRDefault="004011C0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D46" w:rsidRPr="00CF4838">
        <w:tc>
          <w:tcPr>
            <w:tcW w:w="6588" w:type="dxa"/>
            <w:shd w:val="clear" w:color="auto" w:fill="auto"/>
          </w:tcPr>
          <w:p w:rsidR="00482D46" w:rsidRPr="00CF4838" w:rsidRDefault="00482D46" w:rsidP="00CF4838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48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Remaining profit </w:t>
            </w:r>
            <w:r w:rsidR="00E06218" w:rsidRPr="00CF48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</w:t>
            </w:r>
            <w:r w:rsidR="007E0D48">
              <w:rPr>
                <w:rFonts w:ascii="Arial" w:hAnsi="Arial" w:cs="Arial"/>
                <w:b/>
                <w:i/>
                <w:sz w:val="20"/>
                <w:szCs w:val="20"/>
              </w:rPr>
              <w:t>dividend</w:t>
            </w:r>
            <w:r w:rsidR="00E06218" w:rsidRPr="00CF48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payment</w:t>
            </w:r>
          </w:p>
        </w:tc>
        <w:tc>
          <w:tcPr>
            <w:tcW w:w="2700" w:type="dxa"/>
            <w:shd w:val="clear" w:color="auto" w:fill="auto"/>
          </w:tcPr>
          <w:p w:rsidR="00482D46" w:rsidRPr="00C21476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21476">
              <w:rPr>
                <w:rFonts w:ascii="Arial" w:hAnsi="Arial" w:cs="Arial"/>
                <w:i/>
                <w:sz w:val="20"/>
                <w:szCs w:val="20"/>
              </w:rPr>
              <w:t>52.649.358.934</w:t>
            </w:r>
          </w:p>
        </w:tc>
      </w:tr>
      <w:tr w:rsidR="00482D46" w:rsidRPr="00CF4838">
        <w:tc>
          <w:tcPr>
            <w:tcW w:w="6588" w:type="dxa"/>
            <w:shd w:val="clear" w:color="auto" w:fill="auto"/>
          </w:tcPr>
          <w:p w:rsidR="00482D46" w:rsidRPr="00CF4838" w:rsidRDefault="007E0D48" w:rsidP="00CF4838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</w:t>
            </w:r>
            <w:r w:rsidR="00E06218" w:rsidRPr="00CF4838">
              <w:rPr>
                <w:rFonts w:ascii="Arial" w:hAnsi="Arial" w:cs="Arial"/>
                <w:b/>
                <w:i/>
                <w:sz w:val="20"/>
                <w:szCs w:val="20"/>
              </w:rPr>
              <w:t>ividend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payment</w:t>
            </w:r>
            <w:r w:rsidR="00E06218" w:rsidRPr="00CF48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 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xpected 30%/</w:t>
            </w:r>
            <w:r w:rsidR="00482D46" w:rsidRPr="00CF4838">
              <w:rPr>
                <w:rFonts w:ascii="Arial" w:hAnsi="Arial" w:cs="Arial"/>
                <w:b/>
                <w:i/>
                <w:sz w:val="20"/>
                <w:szCs w:val="20"/>
              </w:rPr>
              <w:t>face value</w:t>
            </w:r>
          </w:p>
        </w:tc>
        <w:tc>
          <w:tcPr>
            <w:tcW w:w="2700" w:type="dxa"/>
            <w:shd w:val="clear" w:color="auto" w:fill="auto"/>
          </w:tcPr>
          <w:p w:rsidR="00482D46" w:rsidRPr="00C21476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49.111.578.000</w:t>
            </w:r>
          </w:p>
        </w:tc>
      </w:tr>
      <w:tr w:rsidR="00482D46" w:rsidRPr="00517640">
        <w:tc>
          <w:tcPr>
            <w:tcW w:w="6588" w:type="dxa"/>
            <w:shd w:val="clear" w:color="auto" w:fill="auto"/>
          </w:tcPr>
          <w:p w:rsidR="00482D46" w:rsidRPr="00517640" w:rsidRDefault="007E0D48" w:rsidP="00102B9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Advance of stage</w:t>
            </w:r>
            <w:r w:rsidR="00102B9A">
              <w:rPr>
                <w:rFonts w:ascii="Arial" w:hAnsi="Arial" w:cs="Arial"/>
                <w:sz w:val="20"/>
                <w:szCs w:val="20"/>
              </w:rPr>
              <w:t xml:space="preserve"> 1 on 15 August,  </w:t>
            </w:r>
            <w:r w:rsidR="00482D46" w:rsidRPr="00517640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700" w:type="dxa"/>
            <w:shd w:val="clear" w:color="auto" w:fill="auto"/>
          </w:tcPr>
          <w:p w:rsidR="00482D46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16.370.526.000</w:t>
            </w:r>
          </w:p>
        </w:tc>
      </w:tr>
      <w:tr w:rsidR="00482D46" w:rsidRPr="00517640">
        <w:tc>
          <w:tcPr>
            <w:tcW w:w="6588" w:type="dxa"/>
            <w:shd w:val="clear" w:color="auto" w:fill="auto"/>
          </w:tcPr>
          <w:p w:rsidR="00482D46" w:rsidRPr="00517640" w:rsidRDefault="007E0D48" w:rsidP="00102B9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Advance of stage</w:t>
            </w:r>
            <w:r w:rsidR="00482D46" w:rsidRPr="00517640">
              <w:rPr>
                <w:rFonts w:ascii="Arial" w:hAnsi="Arial" w:cs="Arial"/>
                <w:sz w:val="20"/>
                <w:szCs w:val="20"/>
              </w:rPr>
              <w:t xml:space="preserve"> 2 on </w:t>
            </w:r>
            <w:r w:rsidR="00102B9A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482D46" w:rsidRPr="00517640">
              <w:rPr>
                <w:rFonts w:ascii="Arial" w:hAnsi="Arial" w:cs="Arial"/>
                <w:sz w:val="20"/>
                <w:szCs w:val="20"/>
              </w:rPr>
              <w:t>December , 2016</w:t>
            </w:r>
          </w:p>
        </w:tc>
        <w:tc>
          <w:tcPr>
            <w:tcW w:w="2700" w:type="dxa"/>
            <w:shd w:val="clear" w:color="auto" w:fill="auto"/>
          </w:tcPr>
          <w:p w:rsidR="00482D46" w:rsidRPr="00517640" w:rsidRDefault="00482D4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476">
              <w:rPr>
                <w:rFonts w:ascii="Arial" w:hAnsi="Arial" w:cs="Arial"/>
                <w:sz w:val="20"/>
                <w:szCs w:val="20"/>
              </w:rPr>
              <w:t>16.370.526.000</w:t>
            </w:r>
          </w:p>
        </w:tc>
      </w:tr>
      <w:tr w:rsidR="00482D46" w:rsidRPr="00517640">
        <w:tc>
          <w:tcPr>
            <w:tcW w:w="6588" w:type="dxa"/>
            <w:shd w:val="clear" w:color="auto" w:fill="auto"/>
          </w:tcPr>
          <w:p w:rsidR="00482D46" w:rsidRPr="00517640" w:rsidRDefault="00102B9A" w:rsidP="00102B9A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82D46" w:rsidRPr="00517640">
              <w:rPr>
                <w:rFonts w:ascii="Arial" w:hAnsi="Arial" w:cs="Arial"/>
                <w:sz w:val="20"/>
                <w:szCs w:val="20"/>
              </w:rPr>
              <w:t>3rd installment (af</w:t>
            </w:r>
            <w:r w:rsidR="001F1A4E">
              <w:rPr>
                <w:rFonts w:ascii="Arial" w:hAnsi="Arial" w:cs="Arial"/>
                <w:sz w:val="20"/>
                <w:szCs w:val="20"/>
              </w:rPr>
              <w:t>ter the approval of the General Meeting</w:t>
            </w:r>
            <w:r w:rsidR="00482D46" w:rsidRPr="005176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82D46" w:rsidRPr="00517640" w:rsidRDefault="00C2147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16.370.526.000</w:t>
            </w:r>
          </w:p>
        </w:tc>
      </w:tr>
      <w:tr w:rsidR="00482D46" w:rsidRPr="00517640">
        <w:tc>
          <w:tcPr>
            <w:tcW w:w="6588" w:type="dxa"/>
            <w:shd w:val="clear" w:color="auto" w:fill="auto"/>
          </w:tcPr>
          <w:p w:rsidR="00482D46" w:rsidRPr="00E97ACA" w:rsidRDefault="00482D46" w:rsidP="0094158B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7ACA">
              <w:rPr>
                <w:rFonts w:ascii="Arial" w:hAnsi="Arial" w:cs="Arial"/>
                <w:b/>
                <w:sz w:val="20"/>
                <w:szCs w:val="20"/>
              </w:rPr>
              <w:t>The remaining profits</w:t>
            </w:r>
            <w:r w:rsidR="0094158B">
              <w:rPr>
                <w:rFonts w:ascii="Arial" w:hAnsi="Arial" w:cs="Arial"/>
                <w:b/>
                <w:sz w:val="20"/>
                <w:szCs w:val="20"/>
              </w:rPr>
              <w:t xml:space="preserve"> of  2016</w:t>
            </w:r>
          </w:p>
        </w:tc>
        <w:tc>
          <w:tcPr>
            <w:tcW w:w="2700" w:type="dxa"/>
            <w:shd w:val="clear" w:color="auto" w:fill="auto"/>
          </w:tcPr>
          <w:p w:rsidR="00482D46" w:rsidRPr="00517640" w:rsidRDefault="00967ABD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3.537.780.934</w:t>
            </w:r>
          </w:p>
        </w:tc>
      </w:tr>
      <w:tr w:rsidR="0094158B" w:rsidRPr="00517640">
        <w:tc>
          <w:tcPr>
            <w:tcW w:w="6588" w:type="dxa"/>
            <w:shd w:val="clear" w:color="auto" w:fill="auto"/>
          </w:tcPr>
          <w:p w:rsidR="0094158B" w:rsidRDefault="0094158B">
            <w:r w:rsidRPr="00475849">
              <w:rPr>
                <w:rFonts w:ascii="Arial" w:hAnsi="Arial" w:cs="Arial"/>
                <w:b/>
                <w:sz w:val="20"/>
                <w:szCs w:val="20"/>
              </w:rPr>
              <w:t xml:space="preserve">The remaining profits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2009</w:t>
            </w:r>
          </w:p>
        </w:tc>
        <w:tc>
          <w:tcPr>
            <w:tcW w:w="2700" w:type="dxa"/>
            <w:shd w:val="clear" w:color="auto" w:fill="auto"/>
          </w:tcPr>
          <w:p w:rsidR="0094158B" w:rsidRPr="00517640" w:rsidRDefault="00967ABD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384.627</w:t>
            </w:r>
          </w:p>
        </w:tc>
      </w:tr>
      <w:tr w:rsidR="0094158B" w:rsidRPr="00517640">
        <w:tc>
          <w:tcPr>
            <w:tcW w:w="6588" w:type="dxa"/>
            <w:shd w:val="clear" w:color="auto" w:fill="auto"/>
          </w:tcPr>
          <w:p w:rsidR="0094158B" w:rsidRDefault="0094158B">
            <w:r w:rsidRPr="00475849">
              <w:rPr>
                <w:rFonts w:ascii="Arial" w:hAnsi="Arial" w:cs="Arial"/>
                <w:b/>
                <w:sz w:val="20"/>
                <w:szCs w:val="20"/>
              </w:rPr>
              <w:t xml:space="preserve">The remaining profits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2700" w:type="dxa"/>
            <w:shd w:val="clear" w:color="auto" w:fill="auto"/>
          </w:tcPr>
          <w:p w:rsidR="0094158B" w:rsidRPr="00517640" w:rsidRDefault="00967ABD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645.035.965</w:t>
            </w:r>
          </w:p>
        </w:tc>
      </w:tr>
      <w:tr w:rsidR="00482D46" w:rsidRPr="00517640">
        <w:tc>
          <w:tcPr>
            <w:tcW w:w="6588" w:type="dxa"/>
            <w:shd w:val="clear" w:color="auto" w:fill="auto"/>
          </w:tcPr>
          <w:p w:rsidR="00482D46" w:rsidRPr="00E97ACA" w:rsidRDefault="0094158B" w:rsidP="0094158B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left </w:t>
            </w:r>
            <w:r w:rsidR="007E0D48">
              <w:rPr>
                <w:rFonts w:ascii="Arial" w:hAnsi="Arial" w:cs="Arial"/>
                <w:b/>
                <w:sz w:val="20"/>
                <w:szCs w:val="20"/>
              </w:rPr>
              <w:t xml:space="preserve">profit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moving</w:t>
            </w:r>
            <w:r w:rsidR="00482D46" w:rsidRPr="00E97ACA">
              <w:rPr>
                <w:rFonts w:ascii="Arial" w:hAnsi="Arial" w:cs="Arial"/>
                <w:b/>
                <w:sz w:val="20"/>
                <w:szCs w:val="20"/>
              </w:rPr>
              <w:t xml:space="preserve"> to 2017</w:t>
            </w:r>
          </w:p>
        </w:tc>
        <w:tc>
          <w:tcPr>
            <w:tcW w:w="2700" w:type="dxa"/>
            <w:shd w:val="clear" w:color="auto" w:fill="auto"/>
          </w:tcPr>
          <w:p w:rsidR="00482D46" w:rsidRPr="00517640" w:rsidRDefault="00967ABD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4.183.200.965</w:t>
            </w:r>
          </w:p>
        </w:tc>
      </w:tr>
    </w:tbl>
    <w:p w:rsidR="00D620D9" w:rsidRDefault="00D620D9" w:rsidP="006550ED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</w:p>
    <w:p w:rsidR="00E97ACA" w:rsidRDefault="00F119BB" w:rsidP="00370194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Voting result: 100% Approval</w:t>
      </w:r>
    </w:p>
    <w:p w:rsidR="006550ED" w:rsidRPr="00D620D9" w:rsidRDefault="006550ED" w:rsidP="006550ED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10"/>
          <w:szCs w:val="20"/>
        </w:rPr>
      </w:pPr>
    </w:p>
    <w:p w:rsidR="00482D46" w:rsidRPr="00E97ACA" w:rsidRDefault="00E97ACA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VI: APPROVE</w:t>
      </w:r>
      <w:r w:rsidR="00482D46" w:rsidRPr="00E97A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TAM DUC PLAN </w:t>
      </w:r>
      <w:r w:rsidR="00482D46" w:rsidRPr="00E97ACA">
        <w:rPr>
          <w:rFonts w:ascii="Arial" w:hAnsi="Arial" w:cs="Arial"/>
          <w:b/>
          <w:sz w:val="20"/>
          <w:szCs w:val="20"/>
        </w:rPr>
        <w:t>2017</w:t>
      </w:r>
    </w:p>
    <w:p w:rsidR="00482D46" w:rsidRPr="00517640" w:rsidRDefault="00C34D55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term of</w:t>
      </w:r>
      <w:r w:rsidR="00482D46" w:rsidRPr="00C34D55">
        <w:rPr>
          <w:rFonts w:ascii="Arial" w:hAnsi="Arial" w:cs="Arial"/>
          <w:b/>
          <w:sz w:val="20"/>
          <w:szCs w:val="20"/>
        </w:rPr>
        <w:t xml:space="preserve"> </w:t>
      </w:r>
      <w:r w:rsidRPr="00C34D55">
        <w:rPr>
          <w:rFonts w:ascii="Arial" w:hAnsi="Arial" w:cs="Arial"/>
          <w:b/>
          <w:sz w:val="20"/>
          <w:szCs w:val="20"/>
        </w:rPr>
        <w:t>personnel:</w:t>
      </w:r>
      <w:r>
        <w:rPr>
          <w:rFonts w:ascii="Arial" w:hAnsi="Arial" w:cs="Arial"/>
          <w:sz w:val="20"/>
          <w:szCs w:val="20"/>
        </w:rPr>
        <w:t xml:space="preserve"> Only recruit vacant positions</w:t>
      </w:r>
      <w:r w:rsidR="00482D46" w:rsidRPr="00517640">
        <w:rPr>
          <w:rFonts w:ascii="Arial" w:hAnsi="Arial" w:cs="Arial"/>
          <w:sz w:val="20"/>
          <w:szCs w:val="20"/>
        </w:rPr>
        <w:t xml:space="preserve"> and positions for new activities.</w:t>
      </w:r>
    </w:p>
    <w:p w:rsidR="00482D46" w:rsidRPr="00517640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34D55">
        <w:rPr>
          <w:rFonts w:ascii="Arial" w:hAnsi="Arial" w:cs="Arial"/>
          <w:b/>
          <w:sz w:val="20"/>
          <w:szCs w:val="20"/>
        </w:rPr>
        <w:t>In terms of expertise:</w:t>
      </w:r>
      <w:r w:rsidRPr="00517640">
        <w:rPr>
          <w:rFonts w:ascii="Arial" w:hAnsi="Arial" w:cs="Arial"/>
          <w:sz w:val="20"/>
          <w:szCs w:val="20"/>
        </w:rPr>
        <w:t xml:space="preserve"> </w:t>
      </w:r>
      <w:r w:rsidR="00C34D55">
        <w:rPr>
          <w:rFonts w:ascii="Arial" w:hAnsi="Arial" w:cs="Arial"/>
          <w:sz w:val="20"/>
          <w:szCs w:val="20"/>
        </w:rPr>
        <w:t xml:space="preserve">Targets of medical examination, </w:t>
      </w:r>
      <w:r w:rsidRPr="00517640">
        <w:rPr>
          <w:rFonts w:ascii="Arial" w:hAnsi="Arial" w:cs="Arial"/>
          <w:sz w:val="20"/>
          <w:szCs w:val="20"/>
        </w:rPr>
        <w:t xml:space="preserve">emergency and </w:t>
      </w:r>
      <w:r w:rsidR="00C34D55">
        <w:rPr>
          <w:rFonts w:ascii="Arial" w:hAnsi="Arial" w:cs="Arial"/>
          <w:sz w:val="20"/>
          <w:szCs w:val="20"/>
        </w:rPr>
        <w:t xml:space="preserve">inpatient treatment </w:t>
      </w:r>
      <w:r w:rsidRPr="00517640">
        <w:rPr>
          <w:rFonts w:ascii="Arial" w:hAnsi="Arial" w:cs="Arial"/>
          <w:sz w:val="20"/>
          <w:szCs w:val="20"/>
        </w:rPr>
        <w:t>are set to increase by 5% compared to 20</w:t>
      </w:r>
      <w:r w:rsidR="00A311FE">
        <w:rPr>
          <w:rFonts w:ascii="Arial" w:hAnsi="Arial" w:cs="Arial"/>
          <w:sz w:val="20"/>
          <w:szCs w:val="20"/>
        </w:rPr>
        <w:t>16. Cardiac surgery is over 500. C</w:t>
      </w:r>
      <w:r w:rsidRPr="00517640">
        <w:rPr>
          <w:rFonts w:ascii="Arial" w:hAnsi="Arial" w:cs="Arial"/>
          <w:sz w:val="20"/>
          <w:szCs w:val="20"/>
        </w:rPr>
        <w:t xml:space="preserve">ardiac </w:t>
      </w:r>
      <w:r w:rsidR="00A311FE">
        <w:rPr>
          <w:rFonts w:ascii="Arial" w:hAnsi="Arial" w:cs="Arial"/>
          <w:sz w:val="20"/>
          <w:szCs w:val="20"/>
        </w:rPr>
        <w:t>Intervention and c</w:t>
      </w:r>
      <w:r w:rsidR="00A311FE" w:rsidRPr="00517640">
        <w:rPr>
          <w:rFonts w:ascii="Arial" w:hAnsi="Arial" w:cs="Arial"/>
          <w:sz w:val="20"/>
          <w:szCs w:val="20"/>
        </w:rPr>
        <w:t xml:space="preserve">ardiac </w:t>
      </w:r>
      <w:r w:rsidR="009122A7">
        <w:rPr>
          <w:rFonts w:ascii="Arial" w:hAnsi="Arial" w:cs="Arial"/>
          <w:sz w:val="20"/>
          <w:szCs w:val="20"/>
        </w:rPr>
        <w:t>e</w:t>
      </w:r>
      <w:r w:rsidR="00A311FE" w:rsidRPr="00A311FE">
        <w:rPr>
          <w:rFonts w:ascii="Arial" w:hAnsi="Arial" w:cs="Arial"/>
          <w:sz w:val="20"/>
          <w:szCs w:val="20"/>
        </w:rPr>
        <w:t>lectrophysiology</w:t>
      </w:r>
      <w:r w:rsidR="00D17160">
        <w:rPr>
          <w:rFonts w:ascii="Arial" w:hAnsi="Arial" w:cs="Arial"/>
          <w:sz w:val="20"/>
          <w:szCs w:val="20"/>
        </w:rPr>
        <w:t xml:space="preserve"> are over 1.</w:t>
      </w:r>
      <w:r w:rsidRPr="00517640">
        <w:rPr>
          <w:rFonts w:ascii="Arial" w:hAnsi="Arial" w:cs="Arial"/>
          <w:sz w:val="20"/>
          <w:szCs w:val="20"/>
        </w:rPr>
        <w:t>500.</w:t>
      </w:r>
    </w:p>
    <w:p w:rsidR="00482D46" w:rsidRPr="006C4FD2" w:rsidRDefault="006C4FD2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term of finance:</w:t>
      </w:r>
    </w:p>
    <w:p w:rsidR="00482D46" w:rsidRPr="00517640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Total revenue: </w:t>
      </w:r>
      <w:r w:rsidR="00ED024F">
        <w:rPr>
          <w:rFonts w:ascii="Arial" w:hAnsi="Arial" w:cs="Arial"/>
          <w:sz w:val="20"/>
          <w:szCs w:val="20"/>
        </w:rPr>
        <w:tab/>
      </w:r>
      <w:r w:rsidR="00ED024F">
        <w:rPr>
          <w:rFonts w:ascii="Arial" w:hAnsi="Arial" w:cs="Arial"/>
          <w:sz w:val="20"/>
          <w:szCs w:val="20"/>
        </w:rPr>
        <w:tab/>
      </w:r>
      <w:r w:rsidR="00ED024F">
        <w:rPr>
          <w:rFonts w:ascii="Arial" w:hAnsi="Arial" w:cs="Arial"/>
          <w:sz w:val="20"/>
          <w:szCs w:val="20"/>
        </w:rPr>
        <w:tab/>
        <w:t xml:space="preserve">VND </w:t>
      </w:r>
      <w:r w:rsidRPr="00517640">
        <w:rPr>
          <w:rFonts w:ascii="Arial" w:hAnsi="Arial" w:cs="Arial"/>
          <w:sz w:val="20"/>
          <w:szCs w:val="20"/>
        </w:rPr>
        <w:t>480 billion</w:t>
      </w:r>
    </w:p>
    <w:p w:rsidR="00482D46" w:rsidRPr="00517640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Profit before tax: </w:t>
      </w:r>
      <w:r w:rsidR="00ED024F">
        <w:rPr>
          <w:rFonts w:ascii="Arial" w:hAnsi="Arial" w:cs="Arial"/>
          <w:sz w:val="20"/>
          <w:szCs w:val="20"/>
        </w:rPr>
        <w:tab/>
      </w:r>
      <w:r w:rsidR="00ED024F">
        <w:rPr>
          <w:rFonts w:ascii="Arial" w:hAnsi="Arial" w:cs="Arial"/>
          <w:sz w:val="20"/>
          <w:szCs w:val="20"/>
        </w:rPr>
        <w:tab/>
        <w:t xml:space="preserve">VND </w:t>
      </w:r>
      <w:r w:rsidRPr="00517640">
        <w:rPr>
          <w:rFonts w:ascii="Arial" w:hAnsi="Arial" w:cs="Arial"/>
          <w:sz w:val="20"/>
          <w:szCs w:val="20"/>
        </w:rPr>
        <w:t>65 billion</w:t>
      </w:r>
    </w:p>
    <w:p w:rsidR="00482D46" w:rsidRPr="00517640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Profit after tax: </w:t>
      </w:r>
      <w:r w:rsidR="00ED024F">
        <w:rPr>
          <w:rFonts w:ascii="Arial" w:hAnsi="Arial" w:cs="Arial"/>
          <w:sz w:val="20"/>
          <w:szCs w:val="20"/>
        </w:rPr>
        <w:tab/>
      </w:r>
      <w:r w:rsidR="00ED024F">
        <w:rPr>
          <w:rFonts w:ascii="Arial" w:hAnsi="Arial" w:cs="Arial"/>
          <w:sz w:val="20"/>
          <w:szCs w:val="20"/>
        </w:rPr>
        <w:tab/>
      </w:r>
      <w:r w:rsidR="00ED024F">
        <w:rPr>
          <w:rFonts w:ascii="Arial" w:hAnsi="Arial" w:cs="Arial"/>
          <w:sz w:val="20"/>
          <w:szCs w:val="20"/>
        </w:rPr>
        <w:tab/>
        <w:t xml:space="preserve">VND </w:t>
      </w:r>
      <w:r w:rsidRPr="00517640">
        <w:rPr>
          <w:rFonts w:ascii="Arial" w:hAnsi="Arial" w:cs="Arial"/>
          <w:sz w:val="20"/>
          <w:szCs w:val="20"/>
        </w:rPr>
        <w:t>58 billion</w:t>
      </w:r>
    </w:p>
    <w:p w:rsidR="00482D46" w:rsidRPr="00517640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Dividend: </w:t>
      </w:r>
      <w:r w:rsidR="00ED024F">
        <w:rPr>
          <w:rFonts w:ascii="Arial" w:hAnsi="Arial" w:cs="Arial"/>
          <w:sz w:val="20"/>
          <w:szCs w:val="20"/>
        </w:rPr>
        <w:tab/>
      </w:r>
      <w:r w:rsidR="00ED024F">
        <w:rPr>
          <w:rFonts w:ascii="Arial" w:hAnsi="Arial" w:cs="Arial"/>
          <w:sz w:val="20"/>
          <w:szCs w:val="20"/>
        </w:rPr>
        <w:tab/>
      </w:r>
      <w:r w:rsidR="00ED024F">
        <w:rPr>
          <w:rFonts w:ascii="Arial" w:hAnsi="Arial" w:cs="Arial"/>
          <w:sz w:val="20"/>
          <w:szCs w:val="20"/>
        </w:rPr>
        <w:tab/>
      </w:r>
      <w:r w:rsidR="00ED024F">
        <w:rPr>
          <w:rFonts w:ascii="Arial" w:hAnsi="Arial" w:cs="Arial"/>
          <w:i/>
          <w:sz w:val="20"/>
          <w:szCs w:val="20"/>
        </w:rPr>
        <w:t>30%</w:t>
      </w:r>
      <w:r w:rsidRPr="00ED024F">
        <w:rPr>
          <w:rFonts w:ascii="Arial" w:hAnsi="Arial" w:cs="Arial"/>
          <w:i/>
          <w:sz w:val="20"/>
          <w:szCs w:val="20"/>
        </w:rPr>
        <w:t>/</w:t>
      </w:r>
      <w:r w:rsidR="00ED024F">
        <w:rPr>
          <w:rFonts w:ascii="Arial" w:hAnsi="Arial" w:cs="Arial"/>
          <w:i/>
          <w:sz w:val="20"/>
          <w:szCs w:val="20"/>
        </w:rPr>
        <w:t>face value</w:t>
      </w:r>
    </w:p>
    <w:p w:rsidR="00482D46" w:rsidRDefault="00F119BB" w:rsidP="00370194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Voting result: 100% Approval</w:t>
      </w:r>
    </w:p>
    <w:p w:rsidR="00473B09" w:rsidRPr="00D620D9" w:rsidRDefault="00473B09" w:rsidP="00CD3C1C">
      <w:pPr>
        <w:spacing w:before="60" w:after="60" w:line="276" w:lineRule="auto"/>
        <w:ind w:firstLine="720"/>
        <w:jc w:val="both"/>
        <w:rPr>
          <w:rFonts w:ascii="Arial" w:hAnsi="Arial" w:cs="Arial"/>
          <w:i/>
          <w:sz w:val="14"/>
          <w:szCs w:val="20"/>
        </w:rPr>
      </w:pPr>
    </w:p>
    <w:p w:rsidR="00482D46" w:rsidRPr="00473B09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473B09">
        <w:rPr>
          <w:rFonts w:ascii="Arial" w:hAnsi="Arial" w:cs="Arial"/>
          <w:b/>
          <w:sz w:val="20"/>
          <w:szCs w:val="20"/>
        </w:rPr>
        <w:t xml:space="preserve">Article V: </w:t>
      </w:r>
      <w:r w:rsidR="00473B09">
        <w:rPr>
          <w:rFonts w:ascii="Arial" w:hAnsi="Arial" w:cs="Arial"/>
          <w:b/>
          <w:sz w:val="20"/>
          <w:szCs w:val="20"/>
        </w:rPr>
        <w:t>APPROVE THE DEDUCTION PLAN OF 2017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048"/>
        <w:gridCol w:w="3060"/>
      </w:tblGrid>
      <w:tr w:rsidR="00482D46" w:rsidRPr="00517640">
        <w:tc>
          <w:tcPr>
            <w:tcW w:w="6048" w:type="dxa"/>
            <w:shd w:val="clear" w:color="auto" w:fill="auto"/>
          </w:tcPr>
          <w:p w:rsidR="00482D46" w:rsidRPr="00517640" w:rsidRDefault="00482D4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1. Funds for operation of the Board of Directors and the Board of Supervisors</w:t>
            </w:r>
            <w:r w:rsidR="007E0D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:rsidR="00482D46" w:rsidRPr="00517640" w:rsidRDefault="000E69EA" w:rsidP="00A35D74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of 3,6%/Profit after tax</w:t>
            </w:r>
          </w:p>
        </w:tc>
      </w:tr>
      <w:tr w:rsidR="00482D46" w:rsidRPr="00517640">
        <w:tc>
          <w:tcPr>
            <w:tcW w:w="6048" w:type="dxa"/>
            <w:shd w:val="clear" w:color="auto" w:fill="auto"/>
          </w:tcPr>
          <w:p w:rsidR="00482D46" w:rsidRPr="00517640" w:rsidRDefault="00482D4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1. Humanitarian Fund</w:t>
            </w:r>
            <w:r w:rsidR="007E0D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:rsidR="00482D46" w:rsidRPr="00517640" w:rsidRDefault="0095618D" w:rsidP="00A35D74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DC14BA">
              <w:rPr>
                <w:rFonts w:ascii="Arial" w:hAnsi="Arial" w:cs="Arial"/>
                <w:sz w:val="20"/>
                <w:szCs w:val="20"/>
              </w:rPr>
              <w:t>600 million</w:t>
            </w:r>
          </w:p>
        </w:tc>
      </w:tr>
      <w:tr w:rsidR="00482D46" w:rsidRPr="00517640">
        <w:tc>
          <w:tcPr>
            <w:tcW w:w="6048" w:type="dxa"/>
            <w:shd w:val="clear" w:color="auto" w:fill="auto"/>
          </w:tcPr>
          <w:p w:rsidR="00482D46" w:rsidRPr="00517640" w:rsidRDefault="00482D4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2. Charity Fund</w:t>
            </w:r>
            <w:r w:rsidR="007E0D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:rsidR="00482D46" w:rsidRPr="00517640" w:rsidRDefault="0095618D" w:rsidP="00A35D74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82D46" w:rsidRPr="00517640">
              <w:rPr>
                <w:rFonts w:ascii="Arial" w:hAnsi="Arial" w:cs="Arial"/>
                <w:sz w:val="20"/>
                <w:szCs w:val="20"/>
              </w:rPr>
              <w:t xml:space="preserve">600 </w:t>
            </w:r>
            <w:r w:rsidR="00DC14BA">
              <w:rPr>
                <w:rFonts w:ascii="Arial" w:hAnsi="Arial" w:cs="Arial"/>
                <w:sz w:val="20"/>
                <w:szCs w:val="20"/>
              </w:rPr>
              <w:t>million</w:t>
            </w:r>
          </w:p>
        </w:tc>
      </w:tr>
      <w:tr w:rsidR="00482D46" w:rsidRPr="00517640">
        <w:tc>
          <w:tcPr>
            <w:tcW w:w="6048" w:type="dxa"/>
            <w:shd w:val="clear" w:color="auto" w:fill="auto"/>
          </w:tcPr>
          <w:p w:rsidR="00482D46" w:rsidRPr="00517640" w:rsidRDefault="007E0D48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Bonus and welfare Fund:</w:t>
            </w:r>
          </w:p>
        </w:tc>
        <w:tc>
          <w:tcPr>
            <w:tcW w:w="3060" w:type="dxa"/>
            <w:shd w:val="clear" w:color="auto" w:fill="auto"/>
          </w:tcPr>
          <w:p w:rsidR="00482D46" w:rsidRPr="00517640" w:rsidRDefault="0095618D" w:rsidP="00A35D74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VND </w:t>
            </w:r>
            <w:r w:rsidR="00482D46" w:rsidRPr="00517640">
              <w:rPr>
                <w:rFonts w:ascii="Arial" w:hAnsi="Arial" w:cs="Arial"/>
                <w:sz w:val="20"/>
                <w:szCs w:val="20"/>
              </w:rPr>
              <w:t xml:space="preserve">400 </w:t>
            </w:r>
            <w:r w:rsidR="00DC14BA">
              <w:rPr>
                <w:rFonts w:ascii="Arial" w:hAnsi="Arial" w:cs="Arial"/>
                <w:sz w:val="20"/>
                <w:szCs w:val="20"/>
              </w:rPr>
              <w:t>million</w:t>
            </w:r>
          </w:p>
        </w:tc>
      </w:tr>
      <w:tr w:rsidR="00482D46" w:rsidRPr="00517640">
        <w:tc>
          <w:tcPr>
            <w:tcW w:w="6048" w:type="dxa"/>
            <w:shd w:val="clear" w:color="auto" w:fill="auto"/>
          </w:tcPr>
          <w:p w:rsidR="00482D46" w:rsidRPr="00517640" w:rsidRDefault="00482D46" w:rsidP="00CD3C1C">
            <w:pPr>
              <w:spacing w:before="60" w:after="60" w:line="276" w:lineRule="auto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640">
              <w:rPr>
                <w:rFonts w:ascii="Arial" w:hAnsi="Arial" w:cs="Arial"/>
                <w:sz w:val="20"/>
                <w:szCs w:val="20"/>
              </w:rPr>
              <w:t>4. Science and technology fund</w:t>
            </w:r>
            <w:r w:rsidR="007E0D4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60" w:type="dxa"/>
            <w:shd w:val="clear" w:color="auto" w:fill="auto"/>
          </w:tcPr>
          <w:p w:rsidR="00482D46" w:rsidRPr="0095618D" w:rsidRDefault="0095618D" w:rsidP="00A35D74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8D">
              <w:rPr>
                <w:rFonts w:ascii="Arial" w:hAnsi="Arial" w:cs="Arial"/>
                <w:sz w:val="20"/>
                <w:szCs w:val="20"/>
              </w:rPr>
              <w:t>According to the actual use demand</w:t>
            </w:r>
            <w:r w:rsidR="00A35D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8D">
              <w:rPr>
                <w:rFonts w:ascii="Arial" w:hAnsi="Arial" w:cs="Arial"/>
                <w:sz w:val="20"/>
                <w:szCs w:val="20"/>
              </w:rPr>
              <w:t>(Regulation: 1.5% of pre-tax profit)</w:t>
            </w:r>
          </w:p>
        </w:tc>
      </w:tr>
    </w:tbl>
    <w:p w:rsidR="00482D46" w:rsidRDefault="00F119BB" w:rsidP="00370194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Voting result: 100% Approval</w:t>
      </w:r>
    </w:p>
    <w:p w:rsidR="00370194" w:rsidRPr="00A35D74" w:rsidRDefault="00370194" w:rsidP="00370194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</w:p>
    <w:p w:rsidR="00482D46" w:rsidRPr="00A35D74" w:rsidRDefault="00A35D74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VI: APPROVE</w:t>
      </w:r>
      <w:r w:rsidR="00482D46" w:rsidRPr="00A35D74">
        <w:rPr>
          <w:rFonts w:ascii="Arial" w:hAnsi="Arial" w:cs="Arial"/>
          <w:b/>
          <w:sz w:val="20"/>
          <w:szCs w:val="20"/>
        </w:rPr>
        <w:t xml:space="preserve"> THE PROPOSAL OF THE BOARD OF DIRECTORS CHOOSING THE AUDITING COMPANY</w:t>
      </w:r>
      <w:r w:rsidR="00B6733E">
        <w:rPr>
          <w:rFonts w:ascii="Arial" w:hAnsi="Arial" w:cs="Arial"/>
          <w:b/>
          <w:sz w:val="20"/>
          <w:szCs w:val="20"/>
        </w:rPr>
        <w:t xml:space="preserve"> TO AUDIT ANNUAL</w:t>
      </w:r>
      <w:r w:rsidR="00B30B0D">
        <w:rPr>
          <w:rFonts w:ascii="Arial" w:hAnsi="Arial" w:cs="Arial"/>
          <w:b/>
          <w:sz w:val="20"/>
          <w:szCs w:val="20"/>
        </w:rPr>
        <w:t xml:space="preserve"> FINANCIAL STATEMENT </w:t>
      </w:r>
      <w:r w:rsidR="00482D46" w:rsidRPr="00A35D74">
        <w:rPr>
          <w:rFonts w:ascii="Arial" w:hAnsi="Arial" w:cs="Arial"/>
          <w:b/>
          <w:sz w:val="20"/>
          <w:szCs w:val="20"/>
        </w:rPr>
        <w:t>2017:</w:t>
      </w:r>
    </w:p>
    <w:p w:rsidR="00482D46" w:rsidRPr="00517640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The General </w:t>
      </w:r>
      <w:r w:rsidR="00B30B0D">
        <w:rPr>
          <w:rFonts w:ascii="Arial" w:hAnsi="Arial" w:cs="Arial"/>
          <w:sz w:val="20"/>
          <w:szCs w:val="20"/>
        </w:rPr>
        <w:t>Meeting</w:t>
      </w:r>
      <w:r w:rsidRPr="00517640">
        <w:rPr>
          <w:rFonts w:ascii="Arial" w:hAnsi="Arial" w:cs="Arial"/>
          <w:sz w:val="20"/>
          <w:szCs w:val="20"/>
        </w:rPr>
        <w:t xml:space="preserve"> of Shareholders authorizes the Board</w:t>
      </w:r>
      <w:r w:rsidR="00B30B0D">
        <w:rPr>
          <w:rFonts w:ascii="Arial" w:hAnsi="Arial" w:cs="Arial"/>
          <w:sz w:val="20"/>
          <w:szCs w:val="20"/>
        </w:rPr>
        <w:t xml:space="preserve"> of Directors to select auditing company to audit annual financial statement 2017</w:t>
      </w:r>
      <w:r w:rsidR="003A0FE0">
        <w:rPr>
          <w:rFonts w:ascii="Arial" w:hAnsi="Arial" w:cs="Arial"/>
          <w:sz w:val="20"/>
          <w:szCs w:val="20"/>
        </w:rPr>
        <w:t>.</w:t>
      </w:r>
    </w:p>
    <w:p w:rsidR="00482D46" w:rsidRDefault="00482D46" w:rsidP="00370194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 w:rsidRPr="003A0FE0">
        <w:rPr>
          <w:rFonts w:ascii="Arial" w:hAnsi="Arial" w:cs="Arial"/>
          <w:i/>
          <w:sz w:val="20"/>
          <w:szCs w:val="20"/>
        </w:rPr>
        <w:t>Voting: 100% Agree:</w:t>
      </w:r>
    </w:p>
    <w:p w:rsidR="003A0FE0" w:rsidRPr="003A0FE0" w:rsidRDefault="003A0FE0" w:rsidP="00CD3C1C">
      <w:pPr>
        <w:spacing w:before="60" w:after="60" w:line="276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</w:p>
    <w:p w:rsidR="00482D46" w:rsidRPr="003A0FE0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3A0FE0">
        <w:rPr>
          <w:rFonts w:ascii="Arial" w:hAnsi="Arial" w:cs="Arial"/>
          <w:b/>
          <w:sz w:val="20"/>
          <w:szCs w:val="20"/>
        </w:rPr>
        <w:t xml:space="preserve">Article VII: </w:t>
      </w:r>
      <w:r w:rsidR="003A0FE0">
        <w:rPr>
          <w:rFonts w:ascii="Arial" w:hAnsi="Arial" w:cs="Arial"/>
          <w:b/>
          <w:sz w:val="20"/>
          <w:szCs w:val="20"/>
        </w:rPr>
        <w:t xml:space="preserve">APPROVE THE PLAN OF </w:t>
      </w:r>
      <w:r w:rsidRPr="003A0FE0">
        <w:rPr>
          <w:rFonts w:ascii="Arial" w:hAnsi="Arial" w:cs="Arial"/>
          <w:b/>
          <w:sz w:val="20"/>
          <w:szCs w:val="20"/>
        </w:rPr>
        <w:t>DIVIDEND PAYMENT 2017</w:t>
      </w:r>
    </w:p>
    <w:p w:rsidR="00482D46" w:rsidRPr="00517640" w:rsidRDefault="00482F4B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Advance </w:t>
      </w:r>
      <w:r w:rsidR="00482D46" w:rsidRPr="00517640">
        <w:rPr>
          <w:rFonts w:ascii="Arial" w:hAnsi="Arial" w:cs="Arial"/>
          <w:sz w:val="20"/>
          <w:szCs w:val="20"/>
        </w:rPr>
        <w:t>of dividend for the first sta</w:t>
      </w:r>
      <w:r>
        <w:rPr>
          <w:rFonts w:ascii="Arial" w:hAnsi="Arial" w:cs="Arial"/>
          <w:sz w:val="20"/>
          <w:szCs w:val="20"/>
        </w:rPr>
        <w:t xml:space="preserve">ge of 2017 at the rate of 10%/face value: August </w:t>
      </w:r>
      <w:r w:rsidR="00482D46" w:rsidRPr="00517640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>.</w:t>
      </w:r>
    </w:p>
    <w:p w:rsidR="00B9500C" w:rsidRPr="00517640" w:rsidRDefault="00B9500C" w:rsidP="00B9500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 of dividend for the second</w:t>
      </w:r>
      <w:r w:rsidRPr="00517640">
        <w:rPr>
          <w:rFonts w:ascii="Arial" w:hAnsi="Arial" w:cs="Arial"/>
          <w:sz w:val="20"/>
          <w:szCs w:val="20"/>
        </w:rPr>
        <w:t xml:space="preserve"> sta</w:t>
      </w:r>
      <w:r>
        <w:rPr>
          <w:rFonts w:ascii="Arial" w:hAnsi="Arial" w:cs="Arial"/>
          <w:sz w:val="20"/>
          <w:szCs w:val="20"/>
        </w:rPr>
        <w:t xml:space="preserve">ge of 2017 at the rate of 10%/face value: </w:t>
      </w:r>
      <w:r w:rsidRPr="00517640">
        <w:rPr>
          <w:rFonts w:ascii="Arial" w:hAnsi="Arial" w:cs="Arial"/>
          <w:sz w:val="20"/>
          <w:szCs w:val="20"/>
        </w:rPr>
        <w:t>December 2017</w:t>
      </w:r>
    </w:p>
    <w:p w:rsidR="00482D46" w:rsidRPr="00517640" w:rsidRDefault="00B9500C" w:rsidP="00D620D9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482D46" w:rsidRPr="00517640">
        <w:rPr>
          <w:rFonts w:ascii="Arial" w:hAnsi="Arial" w:cs="Arial"/>
          <w:sz w:val="20"/>
          <w:szCs w:val="20"/>
        </w:rPr>
        <w:t xml:space="preserve">ividend payment </w:t>
      </w:r>
      <w:r>
        <w:rPr>
          <w:rFonts w:ascii="Arial" w:hAnsi="Arial" w:cs="Arial"/>
          <w:sz w:val="20"/>
          <w:szCs w:val="20"/>
        </w:rPr>
        <w:t xml:space="preserve">for the third stage in 2017 at the rate of 10%/face </w:t>
      </w:r>
      <w:r w:rsidR="00482D46" w:rsidRPr="00517640">
        <w:rPr>
          <w:rFonts w:ascii="Arial" w:hAnsi="Arial" w:cs="Arial"/>
          <w:sz w:val="20"/>
          <w:szCs w:val="20"/>
        </w:rPr>
        <w:t>value: After the General Meeting of Shareholders</w:t>
      </w:r>
      <w:r>
        <w:rPr>
          <w:rFonts w:ascii="Arial" w:hAnsi="Arial" w:cs="Arial"/>
          <w:sz w:val="20"/>
          <w:szCs w:val="20"/>
        </w:rPr>
        <w:t xml:space="preserve"> 2018</w:t>
      </w:r>
    </w:p>
    <w:p w:rsidR="00482D46" w:rsidRDefault="00F119BB" w:rsidP="00370194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Voting result: 100% Approval</w:t>
      </w:r>
    </w:p>
    <w:p w:rsidR="00D620D9" w:rsidRPr="00B9500C" w:rsidRDefault="00D620D9" w:rsidP="00CD3C1C">
      <w:pPr>
        <w:spacing w:before="60" w:after="60" w:line="276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</w:p>
    <w:p w:rsidR="00482D46" w:rsidRPr="00B9500C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B9500C">
        <w:rPr>
          <w:rFonts w:ascii="Arial" w:hAnsi="Arial" w:cs="Arial"/>
          <w:b/>
          <w:sz w:val="20"/>
          <w:szCs w:val="20"/>
        </w:rPr>
        <w:t xml:space="preserve">Article VIII. </w:t>
      </w:r>
      <w:r w:rsidR="007F61DF">
        <w:rPr>
          <w:rFonts w:ascii="Arial" w:hAnsi="Arial" w:cs="Arial"/>
          <w:b/>
          <w:sz w:val="20"/>
          <w:szCs w:val="20"/>
        </w:rPr>
        <w:t>APPROVE THE AMENDMENT</w:t>
      </w:r>
      <w:r w:rsidR="00B9500C">
        <w:rPr>
          <w:rFonts w:ascii="Arial" w:hAnsi="Arial" w:cs="Arial"/>
          <w:b/>
          <w:sz w:val="20"/>
          <w:szCs w:val="20"/>
        </w:rPr>
        <w:t xml:space="preserve"> OF CHARTER</w:t>
      </w:r>
    </w:p>
    <w:p w:rsidR="00482D46" w:rsidRPr="00517640" w:rsidRDefault="00815503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Amend </w:t>
      </w:r>
      <w:r w:rsidR="00482D46" w:rsidRPr="00517640">
        <w:rPr>
          <w:rFonts w:ascii="Arial" w:hAnsi="Arial" w:cs="Arial"/>
          <w:sz w:val="20"/>
          <w:szCs w:val="20"/>
        </w:rPr>
        <w:t>C</w:t>
      </w:r>
      <w:r w:rsidR="004A7DEE">
        <w:rPr>
          <w:rFonts w:ascii="Arial" w:hAnsi="Arial" w:cs="Arial"/>
          <w:sz w:val="20"/>
          <w:szCs w:val="20"/>
        </w:rPr>
        <w:t xml:space="preserve">hapter III, Article 7, </w:t>
      </w:r>
      <w:r w:rsidR="00FA60D5">
        <w:rPr>
          <w:rFonts w:ascii="Arial" w:hAnsi="Arial" w:cs="Arial"/>
          <w:sz w:val="20"/>
          <w:szCs w:val="20"/>
        </w:rPr>
        <w:t>Clause</w:t>
      </w:r>
      <w:r w:rsidR="00482D46" w:rsidRPr="00517640">
        <w:rPr>
          <w:rFonts w:ascii="Arial" w:hAnsi="Arial" w:cs="Arial"/>
          <w:sz w:val="20"/>
          <w:szCs w:val="20"/>
        </w:rPr>
        <w:t xml:space="preserve"> 1, Point 1.1 "The charter</w:t>
      </w:r>
      <w:r w:rsidR="004A7DEE">
        <w:rPr>
          <w:rFonts w:ascii="Arial" w:hAnsi="Arial" w:cs="Arial"/>
          <w:sz w:val="20"/>
          <w:szCs w:val="20"/>
        </w:rPr>
        <w:t>ed</w:t>
      </w:r>
      <w:r w:rsidR="00482D46" w:rsidRPr="00517640">
        <w:rPr>
          <w:rFonts w:ascii="Arial" w:hAnsi="Arial" w:cs="Arial"/>
          <w:sz w:val="20"/>
          <w:szCs w:val="20"/>
        </w:rPr>
        <w:t xml:space="preserve"> c</w:t>
      </w:r>
      <w:r w:rsidR="004A7DEE">
        <w:rPr>
          <w:rFonts w:ascii="Arial" w:hAnsi="Arial" w:cs="Arial"/>
          <w:sz w:val="20"/>
          <w:szCs w:val="20"/>
        </w:rPr>
        <w:t>apital of the c</w:t>
      </w:r>
      <w:r w:rsidR="00E53A76">
        <w:rPr>
          <w:rFonts w:ascii="Arial" w:hAnsi="Arial" w:cs="Arial"/>
          <w:sz w:val="20"/>
          <w:szCs w:val="20"/>
        </w:rPr>
        <w:t xml:space="preserve">ompany is VND 155,520,000,000. </w:t>
      </w:r>
      <w:r w:rsidR="00482D46" w:rsidRPr="00517640">
        <w:rPr>
          <w:rFonts w:ascii="Arial" w:hAnsi="Arial" w:cs="Arial"/>
          <w:sz w:val="20"/>
          <w:szCs w:val="20"/>
        </w:rPr>
        <w:t xml:space="preserve">(One </w:t>
      </w:r>
      <w:r w:rsidR="002C603E">
        <w:rPr>
          <w:rFonts w:ascii="Arial" w:hAnsi="Arial" w:cs="Arial"/>
          <w:sz w:val="20"/>
          <w:szCs w:val="20"/>
        </w:rPr>
        <w:t xml:space="preserve">hundred and fifty five billion, </w:t>
      </w:r>
      <w:r w:rsidR="004A7DEE">
        <w:rPr>
          <w:rFonts w:ascii="Arial" w:hAnsi="Arial" w:cs="Arial"/>
          <w:sz w:val="20"/>
          <w:szCs w:val="20"/>
        </w:rPr>
        <w:t xml:space="preserve">five hundred and twenty million </w:t>
      </w:r>
      <w:r w:rsidR="00482D46" w:rsidRPr="00517640">
        <w:rPr>
          <w:rFonts w:ascii="Arial" w:hAnsi="Arial" w:cs="Arial"/>
          <w:sz w:val="20"/>
          <w:szCs w:val="20"/>
        </w:rPr>
        <w:t>dongs)</w:t>
      </w:r>
      <w:r w:rsidR="00A40EF8">
        <w:rPr>
          <w:rFonts w:ascii="Arial" w:hAnsi="Arial" w:cs="Arial"/>
          <w:sz w:val="20"/>
          <w:szCs w:val="20"/>
        </w:rPr>
        <w:t>.</w:t>
      </w:r>
      <w:r w:rsidR="00482D46" w:rsidRPr="00517640">
        <w:rPr>
          <w:rFonts w:ascii="Arial" w:hAnsi="Arial" w:cs="Arial"/>
          <w:sz w:val="20"/>
          <w:szCs w:val="20"/>
        </w:rPr>
        <w:t xml:space="preserve"> The </w:t>
      </w:r>
      <w:r w:rsidR="005352E3">
        <w:rPr>
          <w:rFonts w:ascii="Arial" w:hAnsi="Arial" w:cs="Arial"/>
          <w:sz w:val="20"/>
          <w:szCs w:val="20"/>
        </w:rPr>
        <w:t>total chartered capital of the c</w:t>
      </w:r>
      <w:r w:rsidR="00482D46" w:rsidRPr="00517640">
        <w:rPr>
          <w:rFonts w:ascii="Arial" w:hAnsi="Arial" w:cs="Arial"/>
          <w:sz w:val="20"/>
          <w:szCs w:val="20"/>
        </w:rPr>
        <w:t>ompany is divided i</w:t>
      </w:r>
      <w:r w:rsidR="005352E3">
        <w:rPr>
          <w:rFonts w:ascii="Arial" w:hAnsi="Arial" w:cs="Arial"/>
          <w:sz w:val="20"/>
          <w:szCs w:val="20"/>
        </w:rPr>
        <w:t>nto 15,552,000 shares with a face</w:t>
      </w:r>
      <w:r w:rsidR="00482D46" w:rsidRPr="00517640">
        <w:rPr>
          <w:rFonts w:ascii="Arial" w:hAnsi="Arial" w:cs="Arial"/>
          <w:sz w:val="20"/>
          <w:szCs w:val="20"/>
        </w:rPr>
        <w:t xml:space="preserve"> value of VND10,000 per share "</w:t>
      </w:r>
      <w:r w:rsidR="005352E3">
        <w:rPr>
          <w:rFonts w:ascii="Arial" w:hAnsi="Arial" w:cs="Arial"/>
          <w:sz w:val="20"/>
          <w:szCs w:val="20"/>
        </w:rPr>
        <w:t>according to</w:t>
      </w:r>
      <w:r w:rsidR="00E53A76">
        <w:rPr>
          <w:rFonts w:ascii="Arial" w:hAnsi="Arial" w:cs="Arial"/>
          <w:sz w:val="20"/>
          <w:szCs w:val="20"/>
        </w:rPr>
        <w:t xml:space="preserve"> the request of Viet Nam Security </w:t>
      </w:r>
      <w:r w:rsidR="00482D46" w:rsidRPr="00517640">
        <w:rPr>
          <w:rFonts w:ascii="Arial" w:hAnsi="Arial" w:cs="Arial"/>
          <w:sz w:val="20"/>
          <w:szCs w:val="20"/>
        </w:rPr>
        <w:t>Depository</w:t>
      </w:r>
    </w:p>
    <w:p w:rsidR="00482D46" w:rsidRPr="004A7DEE" w:rsidRDefault="00F119BB" w:rsidP="00370194">
      <w:pPr>
        <w:spacing w:before="60" w:after="60" w:line="276" w:lineRule="auto"/>
        <w:ind w:left="720"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Voting result: 100% Approval</w:t>
      </w:r>
    </w:p>
    <w:p w:rsidR="008D2D82" w:rsidRDefault="00482D46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17640">
        <w:rPr>
          <w:rFonts w:ascii="Arial" w:hAnsi="Arial" w:cs="Arial"/>
          <w:sz w:val="20"/>
          <w:szCs w:val="20"/>
        </w:rPr>
        <w:t xml:space="preserve">This resolution was read before the </w:t>
      </w:r>
      <w:r w:rsidR="002C603E">
        <w:rPr>
          <w:rFonts w:ascii="Arial" w:hAnsi="Arial" w:cs="Arial"/>
          <w:sz w:val="20"/>
          <w:szCs w:val="20"/>
        </w:rPr>
        <w:t xml:space="preserve">General Meeting and was </w:t>
      </w:r>
      <w:r w:rsidRPr="00517640">
        <w:rPr>
          <w:rFonts w:ascii="Arial" w:hAnsi="Arial" w:cs="Arial"/>
          <w:sz w:val="20"/>
          <w:szCs w:val="20"/>
        </w:rPr>
        <w:t xml:space="preserve">approved by the General </w:t>
      </w:r>
      <w:r w:rsidR="002C603E">
        <w:rPr>
          <w:rFonts w:ascii="Arial" w:hAnsi="Arial" w:cs="Arial"/>
          <w:sz w:val="20"/>
          <w:szCs w:val="20"/>
        </w:rPr>
        <w:t>Meeting</w:t>
      </w:r>
      <w:r w:rsidRPr="00517640">
        <w:rPr>
          <w:rFonts w:ascii="Arial" w:hAnsi="Arial" w:cs="Arial"/>
          <w:sz w:val="20"/>
          <w:szCs w:val="20"/>
        </w:rPr>
        <w:t xml:space="preserve"> at 11:00 on April 29,</w:t>
      </w:r>
      <w:r w:rsidR="00043E61">
        <w:rPr>
          <w:rFonts w:ascii="Arial" w:hAnsi="Arial" w:cs="Arial"/>
          <w:sz w:val="20"/>
          <w:szCs w:val="20"/>
        </w:rPr>
        <w:t xml:space="preserve"> 2017.</w:t>
      </w:r>
    </w:p>
    <w:p w:rsidR="00F22015" w:rsidRDefault="00F22015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CD5A64" w:rsidRPr="00517640" w:rsidRDefault="00CD5A64" w:rsidP="00CD3C1C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sectPr w:rsidR="00CD5A64" w:rsidRPr="00517640" w:rsidSect="00CD3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A3" w:rsidRDefault="00FC53A3" w:rsidP="00F466E5">
      <w:r>
        <w:separator/>
      </w:r>
    </w:p>
  </w:endnote>
  <w:endnote w:type="continuationSeparator" w:id="0">
    <w:p w:rsidR="00FC53A3" w:rsidRDefault="00FC53A3" w:rsidP="00F4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A3" w:rsidRDefault="00FC53A3" w:rsidP="00F466E5">
      <w:r>
        <w:separator/>
      </w:r>
    </w:p>
  </w:footnote>
  <w:footnote w:type="continuationSeparator" w:id="0">
    <w:p w:rsidR="00FC53A3" w:rsidRDefault="00FC53A3" w:rsidP="00F4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92F"/>
    <w:multiLevelType w:val="hybridMultilevel"/>
    <w:tmpl w:val="9A72AF56"/>
    <w:lvl w:ilvl="0" w:tplc="26748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65EF3"/>
    <w:multiLevelType w:val="hybridMultilevel"/>
    <w:tmpl w:val="7898D47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12742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1BD6"/>
    <w:multiLevelType w:val="multilevel"/>
    <w:tmpl w:val="B4FA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ADC6222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72D7D"/>
    <w:multiLevelType w:val="hybridMultilevel"/>
    <w:tmpl w:val="8D22D4B4"/>
    <w:lvl w:ilvl="0" w:tplc="CB9CBD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74C1064"/>
    <w:multiLevelType w:val="hybridMultilevel"/>
    <w:tmpl w:val="472CE8FC"/>
    <w:lvl w:ilvl="0" w:tplc="E11EC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8F35AD"/>
    <w:multiLevelType w:val="hybridMultilevel"/>
    <w:tmpl w:val="EAEE4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033B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D16DF"/>
    <w:multiLevelType w:val="hybridMultilevel"/>
    <w:tmpl w:val="4F920952"/>
    <w:lvl w:ilvl="0" w:tplc="50F64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011CA"/>
    <w:multiLevelType w:val="hybridMultilevel"/>
    <w:tmpl w:val="F764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06DD4"/>
    <w:multiLevelType w:val="hybridMultilevel"/>
    <w:tmpl w:val="6920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50347"/>
    <w:multiLevelType w:val="hybridMultilevel"/>
    <w:tmpl w:val="FAB0D406"/>
    <w:lvl w:ilvl="0" w:tplc="1F160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D69FE"/>
    <w:multiLevelType w:val="hybridMultilevel"/>
    <w:tmpl w:val="5C50B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D31C03"/>
    <w:multiLevelType w:val="hybridMultilevel"/>
    <w:tmpl w:val="FBD813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A2826"/>
    <w:multiLevelType w:val="hybridMultilevel"/>
    <w:tmpl w:val="994CA532"/>
    <w:lvl w:ilvl="0" w:tplc="2018A0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C4277"/>
    <w:multiLevelType w:val="hybridMultilevel"/>
    <w:tmpl w:val="0FBE6B38"/>
    <w:lvl w:ilvl="0" w:tplc="A5CAA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82D4C"/>
    <w:multiLevelType w:val="hybridMultilevel"/>
    <w:tmpl w:val="D6CE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E1D26"/>
    <w:multiLevelType w:val="hybridMultilevel"/>
    <w:tmpl w:val="253A8A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B72F6"/>
    <w:multiLevelType w:val="hybridMultilevel"/>
    <w:tmpl w:val="5C9AD7CE"/>
    <w:lvl w:ilvl="0" w:tplc="E9CE2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A80699"/>
    <w:multiLevelType w:val="multilevel"/>
    <w:tmpl w:val="EAE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8C6C98"/>
    <w:multiLevelType w:val="multilevel"/>
    <w:tmpl w:val="8FA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A05EDC"/>
    <w:multiLevelType w:val="hybridMultilevel"/>
    <w:tmpl w:val="3178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E2631"/>
    <w:multiLevelType w:val="hybridMultilevel"/>
    <w:tmpl w:val="D3FAD35E"/>
    <w:lvl w:ilvl="0" w:tplc="A044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1"/>
  </w:num>
  <w:num w:numId="5">
    <w:abstractNumId w:val="6"/>
  </w:num>
  <w:num w:numId="6">
    <w:abstractNumId w:val="7"/>
  </w:num>
  <w:num w:numId="7">
    <w:abstractNumId w:val="20"/>
  </w:num>
  <w:num w:numId="8">
    <w:abstractNumId w:val="13"/>
  </w:num>
  <w:num w:numId="9">
    <w:abstractNumId w:val="14"/>
  </w:num>
  <w:num w:numId="10">
    <w:abstractNumId w:val="19"/>
  </w:num>
  <w:num w:numId="11">
    <w:abstractNumId w:val="8"/>
  </w:num>
  <w:num w:numId="12">
    <w:abstractNumId w:val="9"/>
  </w:num>
  <w:num w:numId="13">
    <w:abstractNumId w:val="22"/>
  </w:num>
  <w:num w:numId="14">
    <w:abstractNumId w:val="18"/>
  </w:num>
  <w:num w:numId="15">
    <w:abstractNumId w:val="21"/>
  </w:num>
  <w:num w:numId="16">
    <w:abstractNumId w:val="0"/>
  </w:num>
  <w:num w:numId="17">
    <w:abstractNumId w:val="4"/>
  </w:num>
  <w:num w:numId="18">
    <w:abstractNumId w:val="10"/>
  </w:num>
  <w:num w:numId="19">
    <w:abstractNumId w:val="2"/>
  </w:num>
  <w:num w:numId="20">
    <w:abstractNumId w:val="3"/>
  </w:num>
  <w:num w:numId="21">
    <w:abstractNumId w:val="5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A"/>
    <w:rsid w:val="00007EC1"/>
    <w:rsid w:val="000306A7"/>
    <w:rsid w:val="00036F5D"/>
    <w:rsid w:val="00043E61"/>
    <w:rsid w:val="00045EC6"/>
    <w:rsid w:val="000540D8"/>
    <w:rsid w:val="00056492"/>
    <w:rsid w:val="000578EE"/>
    <w:rsid w:val="0006439C"/>
    <w:rsid w:val="00073F5B"/>
    <w:rsid w:val="00074322"/>
    <w:rsid w:val="00076E6D"/>
    <w:rsid w:val="000817CF"/>
    <w:rsid w:val="00092070"/>
    <w:rsid w:val="00093BBD"/>
    <w:rsid w:val="0009484A"/>
    <w:rsid w:val="000B081E"/>
    <w:rsid w:val="000B37E5"/>
    <w:rsid w:val="000C2E36"/>
    <w:rsid w:val="000D65A7"/>
    <w:rsid w:val="000E69EA"/>
    <w:rsid w:val="000F504E"/>
    <w:rsid w:val="00102B9A"/>
    <w:rsid w:val="00115838"/>
    <w:rsid w:val="0011734D"/>
    <w:rsid w:val="001177BE"/>
    <w:rsid w:val="001200CF"/>
    <w:rsid w:val="00151208"/>
    <w:rsid w:val="00152584"/>
    <w:rsid w:val="0015267E"/>
    <w:rsid w:val="00153E47"/>
    <w:rsid w:val="00156A5A"/>
    <w:rsid w:val="001713B0"/>
    <w:rsid w:val="001754D2"/>
    <w:rsid w:val="00176775"/>
    <w:rsid w:val="00182AD1"/>
    <w:rsid w:val="001835A5"/>
    <w:rsid w:val="00192F78"/>
    <w:rsid w:val="001A2A43"/>
    <w:rsid w:val="001A76E7"/>
    <w:rsid w:val="001B1111"/>
    <w:rsid w:val="001B4413"/>
    <w:rsid w:val="001B5D21"/>
    <w:rsid w:val="001C26BC"/>
    <w:rsid w:val="001D40ED"/>
    <w:rsid w:val="001E6EA6"/>
    <w:rsid w:val="001E7AB0"/>
    <w:rsid w:val="001F1A4E"/>
    <w:rsid w:val="001F1D18"/>
    <w:rsid w:val="00223E21"/>
    <w:rsid w:val="00226119"/>
    <w:rsid w:val="0022679A"/>
    <w:rsid w:val="002310A2"/>
    <w:rsid w:val="00235D37"/>
    <w:rsid w:val="00253091"/>
    <w:rsid w:val="0025393C"/>
    <w:rsid w:val="00261E73"/>
    <w:rsid w:val="00264F0B"/>
    <w:rsid w:val="00267D35"/>
    <w:rsid w:val="0027159C"/>
    <w:rsid w:val="00271B43"/>
    <w:rsid w:val="00274A21"/>
    <w:rsid w:val="0027639D"/>
    <w:rsid w:val="0028075B"/>
    <w:rsid w:val="00280C69"/>
    <w:rsid w:val="002841A6"/>
    <w:rsid w:val="00292760"/>
    <w:rsid w:val="00293E83"/>
    <w:rsid w:val="002B4327"/>
    <w:rsid w:val="002B75A3"/>
    <w:rsid w:val="002C39FD"/>
    <w:rsid w:val="002C603E"/>
    <w:rsid w:val="002C6D0D"/>
    <w:rsid w:val="002D0AA9"/>
    <w:rsid w:val="002D5763"/>
    <w:rsid w:val="002E65B9"/>
    <w:rsid w:val="002E666B"/>
    <w:rsid w:val="002F1A4F"/>
    <w:rsid w:val="00316DB1"/>
    <w:rsid w:val="00323C1E"/>
    <w:rsid w:val="00324699"/>
    <w:rsid w:val="00324FA6"/>
    <w:rsid w:val="00325142"/>
    <w:rsid w:val="00337922"/>
    <w:rsid w:val="00354832"/>
    <w:rsid w:val="0036329D"/>
    <w:rsid w:val="00370194"/>
    <w:rsid w:val="00371B5E"/>
    <w:rsid w:val="0037303C"/>
    <w:rsid w:val="00376919"/>
    <w:rsid w:val="00385C6F"/>
    <w:rsid w:val="003900DC"/>
    <w:rsid w:val="003A0FE0"/>
    <w:rsid w:val="003A5469"/>
    <w:rsid w:val="003A69DD"/>
    <w:rsid w:val="003B3300"/>
    <w:rsid w:val="003B7A96"/>
    <w:rsid w:val="003C2BFE"/>
    <w:rsid w:val="003C5A43"/>
    <w:rsid w:val="003D2831"/>
    <w:rsid w:val="003D29DA"/>
    <w:rsid w:val="003E26E3"/>
    <w:rsid w:val="003E495C"/>
    <w:rsid w:val="003E4DAF"/>
    <w:rsid w:val="003E572B"/>
    <w:rsid w:val="003F31B4"/>
    <w:rsid w:val="003F4657"/>
    <w:rsid w:val="003F485C"/>
    <w:rsid w:val="003F573C"/>
    <w:rsid w:val="003F7B34"/>
    <w:rsid w:val="004011C0"/>
    <w:rsid w:val="00401DEE"/>
    <w:rsid w:val="00404CC6"/>
    <w:rsid w:val="004109FB"/>
    <w:rsid w:val="00410EB0"/>
    <w:rsid w:val="00415D06"/>
    <w:rsid w:val="00425B09"/>
    <w:rsid w:val="00426913"/>
    <w:rsid w:val="00442AD3"/>
    <w:rsid w:val="004440F3"/>
    <w:rsid w:val="004526B9"/>
    <w:rsid w:val="004618F0"/>
    <w:rsid w:val="00473B09"/>
    <w:rsid w:val="004761D5"/>
    <w:rsid w:val="00476D43"/>
    <w:rsid w:val="00481880"/>
    <w:rsid w:val="00482D46"/>
    <w:rsid w:val="00482F4B"/>
    <w:rsid w:val="004834C9"/>
    <w:rsid w:val="00491DEA"/>
    <w:rsid w:val="004A00E4"/>
    <w:rsid w:val="004A7DEE"/>
    <w:rsid w:val="004B2BD9"/>
    <w:rsid w:val="004C59D7"/>
    <w:rsid w:val="004E06FA"/>
    <w:rsid w:val="004E23CE"/>
    <w:rsid w:val="004E582D"/>
    <w:rsid w:val="004E77BD"/>
    <w:rsid w:val="004F1122"/>
    <w:rsid w:val="004F25D2"/>
    <w:rsid w:val="00504ADC"/>
    <w:rsid w:val="00507F80"/>
    <w:rsid w:val="00510475"/>
    <w:rsid w:val="00511D16"/>
    <w:rsid w:val="00517640"/>
    <w:rsid w:val="005207B6"/>
    <w:rsid w:val="005352E3"/>
    <w:rsid w:val="00541981"/>
    <w:rsid w:val="00541FC9"/>
    <w:rsid w:val="005420F3"/>
    <w:rsid w:val="00544CDD"/>
    <w:rsid w:val="00550BEC"/>
    <w:rsid w:val="00553624"/>
    <w:rsid w:val="00553AFA"/>
    <w:rsid w:val="005579AD"/>
    <w:rsid w:val="0056512C"/>
    <w:rsid w:val="005668FB"/>
    <w:rsid w:val="00567A4E"/>
    <w:rsid w:val="00573ED8"/>
    <w:rsid w:val="00580379"/>
    <w:rsid w:val="005836B4"/>
    <w:rsid w:val="00584394"/>
    <w:rsid w:val="00593AA6"/>
    <w:rsid w:val="0059641B"/>
    <w:rsid w:val="005A3669"/>
    <w:rsid w:val="005B0A95"/>
    <w:rsid w:val="005C6A13"/>
    <w:rsid w:val="005D1B6D"/>
    <w:rsid w:val="005E10F8"/>
    <w:rsid w:val="005E24F4"/>
    <w:rsid w:val="005E3C25"/>
    <w:rsid w:val="005E5DFF"/>
    <w:rsid w:val="005F0688"/>
    <w:rsid w:val="005F2A04"/>
    <w:rsid w:val="00602360"/>
    <w:rsid w:val="00604EC7"/>
    <w:rsid w:val="00617601"/>
    <w:rsid w:val="0063245C"/>
    <w:rsid w:val="00632C36"/>
    <w:rsid w:val="00642EC9"/>
    <w:rsid w:val="00646987"/>
    <w:rsid w:val="00651FE1"/>
    <w:rsid w:val="006550ED"/>
    <w:rsid w:val="0065574C"/>
    <w:rsid w:val="006572EE"/>
    <w:rsid w:val="00660715"/>
    <w:rsid w:val="006629A4"/>
    <w:rsid w:val="0066528B"/>
    <w:rsid w:val="00672E94"/>
    <w:rsid w:val="00682F52"/>
    <w:rsid w:val="006835A0"/>
    <w:rsid w:val="00684AA8"/>
    <w:rsid w:val="00690A5A"/>
    <w:rsid w:val="006A7015"/>
    <w:rsid w:val="006B02D0"/>
    <w:rsid w:val="006B13C3"/>
    <w:rsid w:val="006B61B9"/>
    <w:rsid w:val="006C4FD2"/>
    <w:rsid w:val="006D5D32"/>
    <w:rsid w:val="006E6A6C"/>
    <w:rsid w:val="006F18B8"/>
    <w:rsid w:val="006F3AC3"/>
    <w:rsid w:val="006F6323"/>
    <w:rsid w:val="0070071A"/>
    <w:rsid w:val="00712993"/>
    <w:rsid w:val="00722063"/>
    <w:rsid w:val="00722B4F"/>
    <w:rsid w:val="007338F3"/>
    <w:rsid w:val="007415B6"/>
    <w:rsid w:val="0074250B"/>
    <w:rsid w:val="00743964"/>
    <w:rsid w:val="0074587F"/>
    <w:rsid w:val="0075207D"/>
    <w:rsid w:val="007530F9"/>
    <w:rsid w:val="00754560"/>
    <w:rsid w:val="00756635"/>
    <w:rsid w:val="00771984"/>
    <w:rsid w:val="00782843"/>
    <w:rsid w:val="00791A31"/>
    <w:rsid w:val="007A1710"/>
    <w:rsid w:val="007A210A"/>
    <w:rsid w:val="007B7631"/>
    <w:rsid w:val="007C567C"/>
    <w:rsid w:val="007D6F96"/>
    <w:rsid w:val="007E09E8"/>
    <w:rsid w:val="007E0D48"/>
    <w:rsid w:val="007F61DF"/>
    <w:rsid w:val="00801FF8"/>
    <w:rsid w:val="00810594"/>
    <w:rsid w:val="00812DA4"/>
    <w:rsid w:val="00815503"/>
    <w:rsid w:val="00827ED7"/>
    <w:rsid w:val="00834C89"/>
    <w:rsid w:val="0083561D"/>
    <w:rsid w:val="00837308"/>
    <w:rsid w:val="0084027D"/>
    <w:rsid w:val="008545A3"/>
    <w:rsid w:val="00870F37"/>
    <w:rsid w:val="0087459F"/>
    <w:rsid w:val="00883C6B"/>
    <w:rsid w:val="008841A2"/>
    <w:rsid w:val="00892937"/>
    <w:rsid w:val="008A0DB0"/>
    <w:rsid w:val="008A0F23"/>
    <w:rsid w:val="008A23A6"/>
    <w:rsid w:val="008B44DA"/>
    <w:rsid w:val="008C1E65"/>
    <w:rsid w:val="008D2D82"/>
    <w:rsid w:val="008E69C8"/>
    <w:rsid w:val="008E7446"/>
    <w:rsid w:val="008F09DA"/>
    <w:rsid w:val="008F1D7C"/>
    <w:rsid w:val="008F3C70"/>
    <w:rsid w:val="00904141"/>
    <w:rsid w:val="009122A7"/>
    <w:rsid w:val="0092086A"/>
    <w:rsid w:val="009269B1"/>
    <w:rsid w:val="00933C92"/>
    <w:rsid w:val="00936F3D"/>
    <w:rsid w:val="00936FD8"/>
    <w:rsid w:val="0094158B"/>
    <w:rsid w:val="009552A7"/>
    <w:rsid w:val="0095618D"/>
    <w:rsid w:val="00957A94"/>
    <w:rsid w:val="00967ABD"/>
    <w:rsid w:val="00971CAD"/>
    <w:rsid w:val="0097639D"/>
    <w:rsid w:val="00982C99"/>
    <w:rsid w:val="009879AA"/>
    <w:rsid w:val="0099026B"/>
    <w:rsid w:val="009937C4"/>
    <w:rsid w:val="009A5E61"/>
    <w:rsid w:val="009C4A9F"/>
    <w:rsid w:val="009D2018"/>
    <w:rsid w:val="009D3C55"/>
    <w:rsid w:val="009E1950"/>
    <w:rsid w:val="009E3FE9"/>
    <w:rsid w:val="009E4FD7"/>
    <w:rsid w:val="009E7CD1"/>
    <w:rsid w:val="009F2D2C"/>
    <w:rsid w:val="009F779C"/>
    <w:rsid w:val="00A06712"/>
    <w:rsid w:val="00A11636"/>
    <w:rsid w:val="00A11D97"/>
    <w:rsid w:val="00A13148"/>
    <w:rsid w:val="00A14F8E"/>
    <w:rsid w:val="00A221B8"/>
    <w:rsid w:val="00A311FE"/>
    <w:rsid w:val="00A32E4E"/>
    <w:rsid w:val="00A35D74"/>
    <w:rsid w:val="00A40EF8"/>
    <w:rsid w:val="00A425C8"/>
    <w:rsid w:val="00A56CD5"/>
    <w:rsid w:val="00A60E43"/>
    <w:rsid w:val="00A6289B"/>
    <w:rsid w:val="00A63585"/>
    <w:rsid w:val="00A66037"/>
    <w:rsid w:val="00A72054"/>
    <w:rsid w:val="00A74CB7"/>
    <w:rsid w:val="00A779F6"/>
    <w:rsid w:val="00A87475"/>
    <w:rsid w:val="00A93661"/>
    <w:rsid w:val="00AA2CA8"/>
    <w:rsid w:val="00AB0AD5"/>
    <w:rsid w:val="00AB2D8A"/>
    <w:rsid w:val="00AB67AA"/>
    <w:rsid w:val="00AB785F"/>
    <w:rsid w:val="00AC015C"/>
    <w:rsid w:val="00AC454C"/>
    <w:rsid w:val="00AD5C0B"/>
    <w:rsid w:val="00AD7694"/>
    <w:rsid w:val="00AE0DCA"/>
    <w:rsid w:val="00AE6E4B"/>
    <w:rsid w:val="00B0019E"/>
    <w:rsid w:val="00B06C5E"/>
    <w:rsid w:val="00B06CC3"/>
    <w:rsid w:val="00B14498"/>
    <w:rsid w:val="00B25C47"/>
    <w:rsid w:val="00B3038A"/>
    <w:rsid w:val="00B30B0D"/>
    <w:rsid w:val="00B321FF"/>
    <w:rsid w:val="00B3344C"/>
    <w:rsid w:val="00B41149"/>
    <w:rsid w:val="00B43ADD"/>
    <w:rsid w:val="00B522DE"/>
    <w:rsid w:val="00B54A2A"/>
    <w:rsid w:val="00B57B07"/>
    <w:rsid w:val="00B612C5"/>
    <w:rsid w:val="00B64961"/>
    <w:rsid w:val="00B65FB3"/>
    <w:rsid w:val="00B6733E"/>
    <w:rsid w:val="00B77C61"/>
    <w:rsid w:val="00B83F2C"/>
    <w:rsid w:val="00B871FB"/>
    <w:rsid w:val="00B87A6C"/>
    <w:rsid w:val="00B93233"/>
    <w:rsid w:val="00B939CE"/>
    <w:rsid w:val="00B9500C"/>
    <w:rsid w:val="00B97CD2"/>
    <w:rsid w:val="00BB04D4"/>
    <w:rsid w:val="00BB38A4"/>
    <w:rsid w:val="00BC232B"/>
    <w:rsid w:val="00BC4849"/>
    <w:rsid w:val="00BD618E"/>
    <w:rsid w:val="00BD76CD"/>
    <w:rsid w:val="00BE5509"/>
    <w:rsid w:val="00BE7D65"/>
    <w:rsid w:val="00BF618A"/>
    <w:rsid w:val="00C056FB"/>
    <w:rsid w:val="00C10886"/>
    <w:rsid w:val="00C141E2"/>
    <w:rsid w:val="00C1683C"/>
    <w:rsid w:val="00C21476"/>
    <w:rsid w:val="00C26332"/>
    <w:rsid w:val="00C27163"/>
    <w:rsid w:val="00C34D55"/>
    <w:rsid w:val="00C3722C"/>
    <w:rsid w:val="00C411B5"/>
    <w:rsid w:val="00C421AD"/>
    <w:rsid w:val="00C476A2"/>
    <w:rsid w:val="00C709B4"/>
    <w:rsid w:val="00C745B8"/>
    <w:rsid w:val="00C755DB"/>
    <w:rsid w:val="00C77343"/>
    <w:rsid w:val="00C83740"/>
    <w:rsid w:val="00C93435"/>
    <w:rsid w:val="00CB5456"/>
    <w:rsid w:val="00CC4771"/>
    <w:rsid w:val="00CC548A"/>
    <w:rsid w:val="00CC77BB"/>
    <w:rsid w:val="00CD3C1C"/>
    <w:rsid w:val="00CD4921"/>
    <w:rsid w:val="00CD5A64"/>
    <w:rsid w:val="00CE6290"/>
    <w:rsid w:val="00CF4838"/>
    <w:rsid w:val="00D17160"/>
    <w:rsid w:val="00D21B68"/>
    <w:rsid w:val="00D3065F"/>
    <w:rsid w:val="00D50332"/>
    <w:rsid w:val="00D606EA"/>
    <w:rsid w:val="00D60DE9"/>
    <w:rsid w:val="00D620D9"/>
    <w:rsid w:val="00D67745"/>
    <w:rsid w:val="00D678D9"/>
    <w:rsid w:val="00D71D98"/>
    <w:rsid w:val="00D742BE"/>
    <w:rsid w:val="00D777E2"/>
    <w:rsid w:val="00D80E08"/>
    <w:rsid w:val="00D814B2"/>
    <w:rsid w:val="00D8543F"/>
    <w:rsid w:val="00D85DB4"/>
    <w:rsid w:val="00D87210"/>
    <w:rsid w:val="00D87AFD"/>
    <w:rsid w:val="00D93D68"/>
    <w:rsid w:val="00D96639"/>
    <w:rsid w:val="00DA5F9E"/>
    <w:rsid w:val="00DB1F2C"/>
    <w:rsid w:val="00DB79EF"/>
    <w:rsid w:val="00DC14BA"/>
    <w:rsid w:val="00DD41C3"/>
    <w:rsid w:val="00DD4883"/>
    <w:rsid w:val="00DD4A47"/>
    <w:rsid w:val="00DE6EC7"/>
    <w:rsid w:val="00DE7FB1"/>
    <w:rsid w:val="00E01892"/>
    <w:rsid w:val="00E06218"/>
    <w:rsid w:val="00E0713A"/>
    <w:rsid w:val="00E150A2"/>
    <w:rsid w:val="00E168AD"/>
    <w:rsid w:val="00E238DF"/>
    <w:rsid w:val="00E32823"/>
    <w:rsid w:val="00E34BE7"/>
    <w:rsid w:val="00E36543"/>
    <w:rsid w:val="00E53A76"/>
    <w:rsid w:val="00E63ADD"/>
    <w:rsid w:val="00E66105"/>
    <w:rsid w:val="00E74896"/>
    <w:rsid w:val="00E74C69"/>
    <w:rsid w:val="00E9414B"/>
    <w:rsid w:val="00E956B3"/>
    <w:rsid w:val="00E97ACA"/>
    <w:rsid w:val="00E97C67"/>
    <w:rsid w:val="00EA3E0E"/>
    <w:rsid w:val="00EA5E63"/>
    <w:rsid w:val="00EB0500"/>
    <w:rsid w:val="00ED024F"/>
    <w:rsid w:val="00ED3A6D"/>
    <w:rsid w:val="00ED6FE7"/>
    <w:rsid w:val="00EE5192"/>
    <w:rsid w:val="00F107AC"/>
    <w:rsid w:val="00F11266"/>
    <w:rsid w:val="00F119BB"/>
    <w:rsid w:val="00F20022"/>
    <w:rsid w:val="00F22015"/>
    <w:rsid w:val="00F22142"/>
    <w:rsid w:val="00F23A7F"/>
    <w:rsid w:val="00F30096"/>
    <w:rsid w:val="00F301E4"/>
    <w:rsid w:val="00F31FFA"/>
    <w:rsid w:val="00F466E5"/>
    <w:rsid w:val="00F50562"/>
    <w:rsid w:val="00F535DF"/>
    <w:rsid w:val="00F53AB6"/>
    <w:rsid w:val="00F6395B"/>
    <w:rsid w:val="00F63F5E"/>
    <w:rsid w:val="00F644AB"/>
    <w:rsid w:val="00F65870"/>
    <w:rsid w:val="00F75361"/>
    <w:rsid w:val="00F841CE"/>
    <w:rsid w:val="00F853B0"/>
    <w:rsid w:val="00F91445"/>
    <w:rsid w:val="00F94938"/>
    <w:rsid w:val="00F94CE5"/>
    <w:rsid w:val="00FA60D5"/>
    <w:rsid w:val="00FB4D49"/>
    <w:rsid w:val="00FB67CA"/>
    <w:rsid w:val="00FC2081"/>
    <w:rsid w:val="00FC2B2E"/>
    <w:rsid w:val="00FC53A3"/>
    <w:rsid w:val="00FC7C2C"/>
    <w:rsid w:val="00FD17A3"/>
    <w:rsid w:val="00FD35C6"/>
    <w:rsid w:val="00FD5E55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7A10A-BCDE-4B43-9785-BCA4FC79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036F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translate">
    <w:name w:val="notranslate"/>
    <w:basedOn w:val="DefaultParagraphFont"/>
    <w:rsid w:val="00036F5D"/>
  </w:style>
  <w:style w:type="table" w:styleId="TableGrid">
    <w:name w:val="Table Grid"/>
    <w:basedOn w:val="TableNormal"/>
    <w:rsid w:val="00D6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46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66E5"/>
    <w:rPr>
      <w:sz w:val="24"/>
      <w:szCs w:val="24"/>
    </w:rPr>
  </w:style>
  <w:style w:type="paragraph" w:styleId="Footer">
    <w:name w:val="footer"/>
    <w:basedOn w:val="Normal"/>
    <w:link w:val="FooterChar"/>
    <w:rsid w:val="00F46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6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hoidhvgoka</vt:lpstr>
    </vt:vector>
  </TitlesOfParts>
  <Company>000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hoidhvgoka</dc:title>
  <dc:subject/>
  <dc:creator>vuanh</dc:creator>
  <cp:keywords/>
  <dc:description/>
  <cp:lastModifiedBy>USER</cp:lastModifiedBy>
  <cp:revision>2</cp:revision>
  <cp:lastPrinted>2017-04-24T04:48:00Z</cp:lastPrinted>
  <dcterms:created xsi:type="dcterms:W3CDTF">2017-05-12T07:56:00Z</dcterms:created>
  <dcterms:modified xsi:type="dcterms:W3CDTF">2017-05-12T07:56:00Z</dcterms:modified>
</cp:coreProperties>
</file>